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C0D9" w14:textId="1B391D02" w:rsidR="6BE04B4D" w:rsidRDefault="6BE04B4D" w:rsidP="25A72344">
      <w:pPr>
        <w:pStyle w:val="Heading1"/>
        <w:jc w:val="center"/>
        <w:rPr>
          <w:rFonts w:ascii="Calibri Light" w:hAnsi="Calibri Light"/>
        </w:rPr>
      </w:pPr>
      <w:r>
        <w:t>BP4 “</w:t>
      </w:r>
      <w:r w:rsidR="00277CAB" w:rsidRPr="00277CAB">
        <w:t>Develop, conduct, and evaluate 1 full-day emergency management (EM) seminar for 44 NYC FQHCs</w:t>
      </w:r>
      <w:r>
        <w:t>” deliverable 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12F6635A" w:rsidR="00FC6EEE" w:rsidRDefault="00655B8D" w:rsidP="25A72344">
            <w:pPr>
              <w:spacing w:line="259" w:lineRule="auto"/>
            </w:pPr>
            <w:r>
              <w:t>Primary care</w:t>
            </w:r>
            <w:r w:rsidR="00F000D9">
              <w:t xml:space="preserve"> sub-recipients</w:t>
            </w:r>
            <w:r>
              <w:t xml:space="preserve"> (CHCANYS)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0BEB8C19" w:rsidR="00FC6EEE" w:rsidRDefault="00C154FA" w:rsidP="00CF0B0B">
            <w:r w:rsidRPr="1925A75D">
              <w:rPr>
                <w:b/>
                <w:bCs/>
                <w:color w:val="000000" w:themeColor="text1"/>
              </w:rPr>
              <w:t>C1.2 Develop, conduct, and evaluate 1 full-day emergency management (EM) seminar for 44 NYC FQHCs</w:t>
            </w:r>
          </w:p>
        </w:tc>
      </w:tr>
    </w:tbl>
    <w:p w14:paraId="7ED2B55E" w14:textId="0B55BC2B" w:rsidR="00FC6EEE" w:rsidRDefault="00FC6EEE"/>
    <w:p w14:paraId="73206C26" w14:textId="1E5D0F4C" w:rsidR="001A3A86" w:rsidRDefault="001A3A86">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41EFE924" w:rsidR="00FC6EEE" w:rsidRPr="00CF0B0B" w:rsidRDefault="008B1652" w:rsidP="00FC6EEE">
            <w:pPr>
              <w:rPr>
                <w:b/>
                <w:bCs/>
              </w:rPr>
            </w:pPr>
            <w:r>
              <w:rPr>
                <w:b/>
                <w:bCs/>
              </w:rPr>
              <w:t>Skip this step</w:t>
            </w:r>
            <w:r w:rsidR="00FC6EEE" w:rsidRPr="00CF0B0B">
              <w:rPr>
                <w:b/>
                <w:bCs/>
              </w:rPr>
              <w:t>.</w:t>
            </w:r>
          </w:p>
        </w:tc>
      </w:tr>
      <w:tr w:rsidR="00FC6EEE" w14:paraId="743A0883" w14:textId="77777777" w:rsidTr="001F00E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64AB507" w14:textId="77777777" w:rsidR="001F00EF" w:rsidRDefault="001F00EF" w:rsidP="001F00EF">
            <w:pPr>
              <w:rPr>
                <w:b/>
                <w:bCs/>
              </w:rPr>
            </w:pPr>
          </w:p>
          <w:p w14:paraId="2154ACB1" w14:textId="458339BC" w:rsidR="00B25753" w:rsidRDefault="00CF0B0B" w:rsidP="001F00EF">
            <w:pPr>
              <w:rPr>
                <w:b/>
                <w:bCs/>
              </w:rPr>
            </w:pPr>
            <w:r w:rsidRPr="00CF0B0B">
              <w:rPr>
                <w:b/>
                <w:bCs/>
              </w:rPr>
              <w:t xml:space="preserve">Complete the fields for </w:t>
            </w:r>
            <w:r w:rsidR="00B25753" w:rsidRPr="00015BFF">
              <w:rPr>
                <w:b/>
                <w:bCs/>
              </w:rPr>
              <w:t>written report (three (3) to five (5) pages) summarizing evaluations and survey results, and summary of potential next steps.</w:t>
            </w:r>
          </w:p>
          <w:p w14:paraId="5E72C69B" w14:textId="2909BC19" w:rsidR="00FC6EEE" w:rsidRPr="00CF0B0B" w:rsidRDefault="00FC6EEE" w:rsidP="001F00EF">
            <w:pPr>
              <w:rPr>
                <w:b/>
                <w:bCs/>
              </w:rPr>
            </w:pP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57C1A05F" w:rsidR="00FC6EEE" w:rsidRPr="00CF0B0B" w:rsidRDefault="00B25753" w:rsidP="00FC6EEE">
            <w:pPr>
              <w:rPr>
                <w:b/>
                <w:bCs/>
              </w:rPr>
            </w:pPr>
            <w:r>
              <w:rPr>
                <w:b/>
                <w:bCs/>
              </w:rPr>
              <w:t>S</w:t>
            </w:r>
            <w:r w:rsidR="00CF0B0B" w:rsidRPr="00CF0B0B">
              <w:rPr>
                <w:b/>
                <w:bCs/>
              </w:rPr>
              <w:t xml:space="preserve">ubmit </w:t>
            </w:r>
            <w:r>
              <w:rPr>
                <w:b/>
                <w:bCs/>
              </w:rPr>
              <w:t>all</w:t>
            </w:r>
            <w:r w:rsidR="00CF0B0B" w:rsidRPr="00CF0B0B">
              <w:rPr>
                <w:b/>
                <w:bCs/>
              </w:rPr>
              <w:t xml:space="preserve"> additional documentation required to your DOHMH Program manager</w:t>
            </w:r>
            <w:r>
              <w:rPr>
                <w:b/>
                <w:bCs/>
              </w:rPr>
              <w:t xml:space="preserve"> for </w:t>
            </w:r>
            <w:r w:rsidRPr="00BF04A7">
              <w:rPr>
                <w:b/>
                <w:bCs/>
                <w:u w:val="single"/>
              </w:rPr>
              <w:t>both</w:t>
            </w:r>
            <w:r>
              <w:rPr>
                <w:b/>
                <w:bCs/>
              </w:rPr>
              <w:t xml:space="preserve"> February 28</w:t>
            </w:r>
            <w:r w:rsidR="00BF04A7">
              <w:rPr>
                <w:b/>
                <w:bCs/>
              </w:rPr>
              <w:t xml:space="preserve"> and</w:t>
            </w:r>
            <w:r>
              <w:rPr>
                <w:b/>
                <w:bCs/>
              </w:rPr>
              <w:t xml:space="preserve"> June 1, 2023</w:t>
            </w:r>
            <w:r w:rsidR="00CF0B0B" w:rsidRPr="00CF0B0B">
              <w:rPr>
                <w:b/>
                <w:bCs/>
              </w:rPr>
              <w:t xml:space="preserve">. This is noted </w:t>
            </w:r>
            <w:r w:rsidR="007E10F9">
              <w:rPr>
                <w:b/>
                <w:bCs/>
              </w:rPr>
              <w:t xml:space="preserve">below </w:t>
            </w:r>
            <w:r w:rsidR="00CF0B0B" w:rsidRPr="00CF0B0B">
              <w:rPr>
                <w:b/>
                <w:bCs/>
              </w:rPr>
              <w:t>in the deliverable text</w:t>
            </w:r>
            <w:r w:rsidR="00A92DD1">
              <w:rPr>
                <w:b/>
                <w:bCs/>
              </w:rPr>
              <w:t xml:space="preserve"> (</w:t>
            </w:r>
            <w:r w:rsidR="00BC72B3">
              <w:rPr>
                <w:b/>
                <w:bCs/>
              </w:rPr>
              <w:t>step</w:t>
            </w:r>
            <w:r w:rsidR="00A92DD1">
              <w:rPr>
                <w:b/>
                <w:bCs/>
              </w:rPr>
              <w:t xml:space="preserve"> 2)</w:t>
            </w:r>
            <w:r w:rsidR="00CF0B0B" w:rsidRPr="00CF0B0B">
              <w:rPr>
                <w:b/>
                <w:bCs/>
              </w:rPr>
              <w:t xml:space="preserve"> as well as </w:t>
            </w:r>
            <w:r>
              <w:rPr>
                <w:b/>
                <w:bCs/>
              </w:rPr>
              <w:t>in step 5</w:t>
            </w:r>
            <w:r w:rsidR="00CF0B0B" w:rsidRPr="00CF0B0B">
              <w:rPr>
                <w:b/>
                <w:bCs/>
              </w:rPr>
              <w:t>.</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2B727B21" w14:textId="474966F7" w:rsidR="00755059" w:rsidRDefault="00755059" w:rsidP="00755059">
            <w:pPr>
              <w:rPr>
                <w:rFonts w:ascii="Calibri" w:eastAsia="Calibri" w:hAnsi="Calibri" w:cs="Calibri"/>
              </w:rPr>
            </w:pPr>
            <w:r>
              <w:rPr>
                <w:b/>
                <w:bCs/>
              </w:rPr>
              <w:t xml:space="preserve">DOHMH Program Manager: </w:t>
            </w:r>
            <w:r>
              <w:t>Philip Tamburrino, MPH</w:t>
            </w:r>
          </w:p>
          <w:p w14:paraId="61EA77D4" w14:textId="77777777" w:rsidR="00755059" w:rsidRDefault="00755059" w:rsidP="00755059">
            <w:pPr>
              <w:rPr>
                <w:b/>
                <w:bCs/>
              </w:rPr>
            </w:pPr>
            <w:r>
              <w:rPr>
                <w:b/>
                <w:bCs/>
              </w:rPr>
              <w:t xml:space="preserve">Phone number: </w:t>
            </w:r>
            <w:r>
              <w:t>917-622-7942</w:t>
            </w:r>
          </w:p>
          <w:p w14:paraId="4964263B" w14:textId="77777777" w:rsidR="00CF0B0B" w:rsidRDefault="00755059" w:rsidP="00755059">
            <w:pPr>
              <w:rPr>
                <w:rFonts w:eastAsia="Times New Roman" w:cstheme="minorHAnsi"/>
                <w:color w:val="000000"/>
                <w:u w:val="single"/>
                <w:shd w:val="clear" w:color="auto" w:fill="FFFFFF"/>
              </w:rPr>
            </w:pPr>
            <w:r>
              <w:rPr>
                <w:b/>
                <w:bCs/>
              </w:rPr>
              <w:t xml:space="preserve">Email: </w:t>
            </w:r>
            <w:hyperlink r:id="rId11" w:history="1">
              <w:r>
                <w:rPr>
                  <w:rStyle w:val="Hyperlink"/>
                  <w:rFonts w:eastAsia="Times New Roman" w:cstheme="minorHAnsi"/>
                  <w:shd w:val="clear" w:color="auto" w:fill="FFFFFF"/>
                </w:rPr>
                <w:t>Ptamburrino@health.nyc.gov</w:t>
              </w:r>
            </w:hyperlink>
          </w:p>
          <w:p w14:paraId="13B1808A" w14:textId="58BC4306" w:rsidR="00755059" w:rsidRPr="00CF0B0B" w:rsidRDefault="00755059" w:rsidP="0075505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7915AD7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63F21F7E" w14:textId="77777777" w:rsidR="00AD61D6" w:rsidRPr="00C00795" w:rsidRDefault="00AD61D6" w:rsidP="00AD61D6">
            <w:pPr>
              <w:rPr>
                <w:rFonts w:cstheme="minorHAnsi"/>
                <w:bCs/>
              </w:rPr>
            </w:pPr>
            <w:r>
              <w:rPr>
                <w:rFonts w:cstheme="minorHAnsi"/>
                <w:bCs/>
              </w:rPr>
              <w:t>1.</w:t>
            </w:r>
            <w:r w:rsidRPr="00C00795">
              <w:rPr>
                <w:rFonts w:cstheme="minorHAnsi"/>
                <w:bCs/>
              </w:rPr>
              <w:t>In collaboration with other partners, as appropriate (e.g., NYC Emergency Management (NYCEM), New York State Department of Health (NYSDOH) etc.), plan, promote and conduct one (1) full-day annual Emergency Management</w:t>
            </w:r>
            <w:r>
              <w:rPr>
                <w:rFonts w:cstheme="minorHAnsi"/>
                <w:bCs/>
              </w:rPr>
              <w:t xml:space="preserve"> (EM)</w:t>
            </w:r>
            <w:r w:rsidRPr="00C00795">
              <w:rPr>
                <w:rFonts w:cstheme="minorHAnsi"/>
                <w:bCs/>
              </w:rPr>
              <w:t xml:space="preserve"> </w:t>
            </w:r>
            <w:r>
              <w:rPr>
                <w:rFonts w:cstheme="minorHAnsi"/>
                <w:bCs/>
              </w:rPr>
              <w:t>s</w:t>
            </w:r>
            <w:r w:rsidRPr="00C00795">
              <w:rPr>
                <w:rFonts w:cstheme="minorHAnsi"/>
                <w:bCs/>
              </w:rPr>
              <w:t>eminar for NYC FQHC networks (to be conducted either in person or virtually). EM seminar topics will include emergency management topics in support of developing facility preparedness and response capabilities, considering gaps identified in BP3</w:t>
            </w:r>
            <w:r w:rsidRPr="0019244C">
              <w:rPr>
                <w:rFonts w:cstheme="minorHAnsi"/>
                <w:bCs/>
              </w:rPr>
              <w:t>.</w:t>
            </w:r>
            <w:r w:rsidRPr="00C00795">
              <w:rPr>
                <w:rFonts w:cstheme="minorHAnsi"/>
                <w:bCs/>
              </w:rPr>
              <w:t xml:space="preserve"> A practical session will be part of the agenda and may be a tabletop exercise or focus on a specific planning topic/issue/hazard. Sub-recipient responsibilities include, but are not limited to: </w:t>
            </w:r>
          </w:p>
          <w:p w14:paraId="5AAF04E8" w14:textId="77777777" w:rsidR="00AD61D6" w:rsidRPr="00C00795" w:rsidRDefault="00AD61D6" w:rsidP="00AD61D6">
            <w:pPr>
              <w:pStyle w:val="ListParagraph"/>
              <w:numPr>
                <w:ilvl w:val="0"/>
                <w:numId w:val="11"/>
              </w:numPr>
              <w:rPr>
                <w:rFonts w:cstheme="minorHAnsi"/>
                <w:bCs/>
              </w:rPr>
            </w:pPr>
            <w:r w:rsidRPr="00C00795">
              <w:rPr>
                <w:rFonts w:cstheme="minorHAnsi"/>
                <w:bCs/>
              </w:rPr>
              <w:t>Securing seminar speaker(s), facilitators, venue space (if applicable), and other logistical details</w:t>
            </w:r>
          </w:p>
          <w:p w14:paraId="075C13D9" w14:textId="77777777" w:rsidR="00AD61D6" w:rsidRPr="00C00795" w:rsidRDefault="00AD61D6" w:rsidP="00AD61D6">
            <w:pPr>
              <w:pStyle w:val="ListParagraph"/>
              <w:numPr>
                <w:ilvl w:val="0"/>
                <w:numId w:val="11"/>
              </w:numPr>
              <w:rPr>
                <w:rFonts w:cstheme="minorHAnsi"/>
                <w:bCs/>
              </w:rPr>
            </w:pPr>
            <w:r w:rsidRPr="00C00795">
              <w:rPr>
                <w:rFonts w:cstheme="minorHAnsi"/>
                <w:bCs/>
              </w:rPr>
              <w:t>Developing seminar agenda and necessary materials</w:t>
            </w:r>
          </w:p>
          <w:p w14:paraId="72721DF5" w14:textId="77777777" w:rsidR="00AD61D6" w:rsidRPr="00C00795" w:rsidRDefault="00AD61D6" w:rsidP="00AD61D6">
            <w:pPr>
              <w:pStyle w:val="ListParagraph"/>
              <w:numPr>
                <w:ilvl w:val="0"/>
                <w:numId w:val="11"/>
              </w:numPr>
              <w:rPr>
                <w:rFonts w:cstheme="minorHAnsi"/>
                <w:bCs/>
              </w:rPr>
            </w:pPr>
            <w:r w:rsidRPr="00C00795">
              <w:rPr>
                <w:rFonts w:cstheme="minorHAnsi"/>
                <w:bCs/>
              </w:rPr>
              <w:t>Promoting the seminar to FQHCs</w:t>
            </w:r>
          </w:p>
          <w:p w14:paraId="1EF42DB4" w14:textId="77777777" w:rsidR="00AD61D6" w:rsidRPr="00C00795" w:rsidRDefault="00AD61D6" w:rsidP="00AD61D6">
            <w:pPr>
              <w:pStyle w:val="ListParagraph"/>
              <w:numPr>
                <w:ilvl w:val="0"/>
                <w:numId w:val="11"/>
              </w:numPr>
              <w:rPr>
                <w:rFonts w:cstheme="minorHAnsi"/>
                <w:bCs/>
              </w:rPr>
            </w:pPr>
            <w:r w:rsidRPr="00C00795">
              <w:rPr>
                <w:rFonts w:cstheme="minorHAnsi"/>
                <w:bCs/>
              </w:rPr>
              <w:t>Coordinating attendee registration</w:t>
            </w:r>
          </w:p>
          <w:p w14:paraId="188A02DF" w14:textId="77777777" w:rsidR="00AD61D6" w:rsidRPr="00C00795" w:rsidRDefault="00AD61D6" w:rsidP="00AD61D6">
            <w:pPr>
              <w:pStyle w:val="ListParagraph"/>
              <w:numPr>
                <w:ilvl w:val="0"/>
                <w:numId w:val="11"/>
              </w:numPr>
            </w:pPr>
            <w:r w:rsidRPr="00C00795">
              <w:rPr>
                <w:rFonts w:cstheme="minorHAnsi"/>
                <w:bCs/>
              </w:rPr>
              <w:t>Collecting and evaluating participants’ feedback and summarizing key next steps and/or potential improvements for future seminars.</w:t>
            </w:r>
          </w:p>
          <w:p w14:paraId="019CEC7F" w14:textId="77777777" w:rsidR="00AD61D6" w:rsidRPr="00C00795" w:rsidRDefault="00AD61D6" w:rsidP="00AD61D6">
            <w:pPr>
              <w:rPr>
                <w:rFonts w:cstheme="minorHAnsi"/>
                <w:b/>
                <w:i/>
                <w:iCs/>
                <w:color w:val="000000" w:themeColor="text1"/>
              </w:rPr>
            </w:pPr>
            <w:r w:rsidRPr="00C00795">
              <w:rPr>
                <w:rFonts w:cstheme="minorHAnsi"/>
                <w:b/>
                <w:i/>
                <w:iCs/>
                <w:color w:val="000000" w:themeColor="text1"/>
              </w:rPr>
              <w:t>Note:</w:t>
            </w:r>
          </w:p>
          <w:p w14:paraId="22FDCFB9" w14:textId="1524C8D8" w:rsidR="00AD61D6" w:rsidRPr="00C00795" w:rsidRDefault="00AD61D6" w:rsidP="00AD61D6">
            <w:pPr>
              <w:rPr>
                <w:rFonts w:cstheme="minorHAnsi"/>
                <w:bCs/>
                <w:i/>
                <w:iCs/>
                <w:color w:val="000000" w:themeColor="text1"/>
              </w:rPr>
            </w:pPr>
            <w:r w:rsidRPr="00C00795">
              <w:rPr>
                <w:rFonts w:cstheme="minorHAnsi"/>
                <w:bCs/>
                <w:i/>
                <w:iCs/>
                <w:color w:val="000000" w:themeColor="text1"/>
              </w:rPr>
              <w:t>- Subrecipient is responsible for venue, supplies,</w:t>
            </w:r>
            <w:r w:rsidR="00BC372B">
              <w:rPr>
                <w:rFonts w:cstheme="minorHAnsi"/>
                <w:bCs/>
                <w:i/>
                <w:iCs/>
                <w:color w:val="000000" w:themeColor="text1"/>
              </w:rPr>
              <w:t xml:space="preserve"> </w:t>
            </w:r>
            <w:r w:rsidRPr="00C00795">
              <w:rPr>
                <w:rFonts w:cstheme="minorHAnsi"/>
                <w:bCs/>
                <w:i/>
                <w:iCs/>
                <w:color w:val="000000" w:themeColor="text1"/>
              </w:rPr>
              <w:t>refreshments* and logistics costs. The seminar</w:t>
            </w:r>
            <w:r w:rsidR="00BC372B">
              <w:rPr>
                <w:rFonts w:cstheme="minorHAnsi"/>
                <w:bCs/>
                <w:i/>
                <w:iCs/>
                <w:color w:val="000000" w:themeColor="text1"/>
              </w:rPr>
              <w:t xml:space="preserve"> </w:t>
            </w:r>
            <w:r w:rsidRPr="00C00795">
              <w:rPr>
                <w:rFonts w:cstheme="minorHAnsi"/>
                <w:bCs/>
                <w:i/>
                <w:iCs/>
                <w:color w:val="000000" w:themeColor="text1"/>
              </w:rPr>
              <w:t>may be conducted virtually if necessary.</w:t>
            </w:r>
          </w:p>
          <w:p w14:paraId="4585A7E9" w14:textId="06C53892" w:rsidR="00AD61D6" w:rsidRPr="00C00795" w:rsidRDefault="00AD61D6" w:rsidP="00AD61D6">
            <w:pPr>
              <w:rPr>
                <w:rFonts w:cstheme="minorHAnsi"/>
                <w:bCs/>
                <w:i/>
                <w:iCs/>
                <w:color w:val="000000" w:themeColor="text1"/>
              </w:rPr>
            </w:pPr>
            <w:r w:rsidRPr="00C00795">
              <w:rPr>
                <w:rFonts w:cstheme="minorHAnsi"/>
                <w:bCs/>
                <w:i/>
                <w:iCs/>
                <w:color w:val="000000" w:themeColor="text1"/>
              </w:rPr>
              <w:t>- DOHMH will review and approve all materials</w:t>
            </w:r>
            <w:r w:rsidR="00BC372B">
              <w:rPr>
                <w:rFonts w:cstheme="minorHAnsi"/>
                <w:bCs/>
                <w:i/>
                <w:iCs/>
                <w:color w:val="000000" w:themeColor="text1"/>
              </w:rPr>
              <w:t xml:space="preserve"> </w:t>
            </w:r>
            <w:r w:rsidRPr="00C00795">
              <w:rPr>
                <w:rFonts w:cstheme="minorHAnsi"/>
                <w:b/>
                <w:i/>
                <w:iCs/>
                <w:color w:val="000000" w:themeColor="text1"/>
              </w:rPr>
              <w:t>two (2) weeks</w:t>
            </w:r>
            <w:r w:rsidRPr="00C00795">
              <w:rPr>
                <w:rFonts w:cstheme="minorHAnsi"/>
                <w:bCs/>
                <w:i/>
                <w:iCs/>
                <w:color w:val="000000" w:themeColor="text1"/>
              </w:rPr>
              <w:t xml:space="preserve"> prior to the event.</w:t>
            </w:r>
          </w:p>
          <w:p w14:paraId="068A980D" w14:textId="3B520F4E" w:rsidR="00CF0B0B" w:rsidRDefault="00AD61D6" w:rsidP="00AD61D6">
            <w:pPr>
              <w:rPr>
                <w:rFonts w:cstheme="minorHAnsi"/>
                <w:bCs/>
                <w:color w:val="000000" w:themeColor="text1"/>
              </w:rPr>
            </w:pPr>
            <w:r w:rsidRPr="00C00795">
              <w:rPr>
                <w:rFonts w:cstheme="minorHAnsi"/>
                <w:bCs/>
                <w:i/>
                <w:iCs/>
                <w:color w:val="000000" w:themeColor="text1"/>
              </w:rPr>
              <w:t>*Food purchases must follow the</w:t>
            </w:r>
            <w:r w:rsidR="00BC372B">
              <w:rPr>
                <w:rFonts w:cstheme="minorHAnsi"/>
                <w:bCs/>
                <w:i/>
                <w:iCs/>
                <w:color w:val="000000" w:themeColor="text1"/>
              </w:rPr>
              <w:t xml:space="preserve"> </w:t>
            </w:r>
            <w:r w:rsidRPr="00C00795">
              <w:rPr>
                <w:rFonts w:cstheme="minorHAnsi"/>
                <w:bCs/>
                <w:i/>
                <w:iCs/>
                <w:color w:val="000000" w:themeColor="text1"/>
              </w:rPr>
              <w:t>cost restrictions and City Agency Food Standards.</w:t>
            </w:r>
            <w:r w:rsidR="00BC372B">
              <w:rPr>
                <w:rFonts w:cstheme="minorHAnsi"/>
                <w:bCs/>
                <w:i/>
                <w:iCs/>
                <w:color w:val="000000" w:themeColor="text1"/>
              </w:rPr>
              <w:t xml:space="preserve"> </w:t>
            </w:r>
            <w:r w:rsidRPr="00C00795">
              <w:rPr>
                <w:rFonts w:cstheme="minorHAnsi"/>
                <w:bCs/>
                <w:i/>
                <w:iCs/>
                <w:color w:val="000000" w:themeColor="text1"/>
              </w:rPr>
              <w:t>Refreshments must not exceed $8.50 per person.</w:t>
            </w:r>
            <w:r w:rsidRPr="00C00795">
              <w:rPr>
                <w:rFonts w:cstheme="minorHAnsi"/>
                <w:bCs/>
                <w:color w:val="000000" w:themeColor="text1"/>
              </w:rPr>
              <w:t xml:space="preserve"> </w:t>
            </w:r>
          </w:p>
          <w:p w14:paraId="102500D0" w14:textId="77777777" w:rsidR="00AD61D6" w:rsidRDefault="00AD61D6" w:rsidP="00AD61D6">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338F3B19" w14:textId="77777777" w:rsidR="00CF0B0B" w:rsidRPr="001868D6" w:rsidRDefault="001868D6" w:rsidP="001868D6">
            <w:pPr>
              <w:pStyle w:val="ListParagraph"/>
              <w:numPr>
                <w:ilvl w:val="0"/>
                <w:numId w:val="12"/>
              </w:numPr>
              <w:rPr>
                <w:rFonts w:ascii="Calibri" w:eastAsia="Calibri" w:hAnsi="Calibri" w:cs="Calibri"/>
              </w:rPr>
            </w:pPr>
            <w:r>
              <w:t xml:space="preserve">Draft agenda, draft presentation slides, final list of speakers and brief biographies (supplied by speakers), draft seminar materials, draft pre- and post-tests, and draft participant evaluation survey. Due in the midterm performance period of the contract (November 1, </w:t>
            </w:r>
            <w:bookmarkStart w:id="0" w:name="_Int_lzx7inZh"/>
            <w:proofErr w:type="gramStart"/>
            <w:r>
              <w:t>2022</w:t>
            </w:r>
            <w:bookmarkEnd w:id="0"/>
            <w:proofErr w:type="gramEnd"/>
            <w:r>
              <w:t xml:space="preserve"> to February 28, 2023).</w:t>
            </w:r>
          </w:p>
          <w:p w14:paraId="0EB4E804" w14:textId="234FA452" w:rsidR="001868D6" w:rsidRPr="001868D6" w:rsidRDefault="00015BFF" w:rsidP="001868D6">
            <w:pPr>
              <w:pStyle w:val="ListParagraph"/>
              <w:numPr>
                <w:ilvl w:val="0"/>
                <w:numId w:val="12"/>
              </w:numPr>
              <w:rPr>
                <w:rFonts w:ascii="Calibri" w:eastAsia="Calibri" w:hAnsi="Calibri" w:cs="Calibri"/>
              </w:rPr>
            </w:pPr>
            <w:r w:rsidRPr="38BCE441">
              <w:t xml:space="preserve">Final presentation slides, sign-in sheets or roster of participants, evaluation results (to include raw survey results), all pre- and post-test scores and mean pre-test and post-test score, </w:t>
            </w:r>
            <w:r w:rsidRPr="00015BFF">
              <w:rPr>
                <w:b/>
                <w:bCs/>
              </w:rPr>
              <w:t>written report (three (3) to five (5) pages) summarizing evaluations and survey results, and summary of potential next steps.</w:t>
            </w:r>
            <w:r w:rsidRPr="38BCE441">
              <w:t xml:space="preserve"> </w:t>
            </w:r>
            <w:r>
              <w:t>D</w:t>
            </w:r>
            <w:r w:rsidRPr="38BCE441">
              <w:t xml:space="preserve">ue in the final performance period of the contract </w:t>
            </w:r>
            <w:r>
              <w:t>(</w:t>
            </w:r>
            <w:r w:rsidRPr="38BCE441">
              <w:t>March 1</w:t>
            </w:r>
            <w:r w:rsidRPr="38BCE441">
              <w:rPr>
                <w:vertAlign w:val="superscript"/>
              </w:rPr>
              <w:t xml:space="preserve"> </w:t>
            </w:r>
            <w:r w:rsidRPr="38BCE441">
              <w:t>to June 1, 2023</w:t>
            </w:r>
            <w:r w:rsidRPr="31E2B940">
              <w:t>).</w:t>
            </w:r>
          </w:p>
        </w:tc>
      </w:tr>
    </w:tbl>
    <w:p w14:paraId="77797AE7" w14:textId="0589A3A0" w:rsidR="003334B0" w:rsidRDefault="003334B0"/>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4B3FEB" w:rsidRPr="00CF0B0B" w14:paraId="371F95DF" w14:textId="77777777" w:rsidTr="005D0D9F">
        <w:trPr>
          <w:trHeight w:val="97"/>
        </w:trPr>
        <w:tc>
          <w:tcPr>
            <w:tcW w:w="1345" w:type="dxa"/>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vAlign w:val="center"/>
          </w:tcPr>
          <w:p w14:paraId="14057480" w14:textId="0C69EC2E" w:rsidR="004B3FEB" w:rsidRDefault="009C4695" w:rsidP="006E25D9">
            <w:pPr>
              <w:rPr>
                <w:b/>
                <w:bCs/>
              </w:rPr>
            </w:pPr>
            <w:r>
              <w:rPr>
                <w:b/>
                <w:bCs/>
              </w:rPr>
              <w:t>Skip this step</w:t>
            </w:r>
          </w:p>
          <w:p w14:paraId="399F80DE" w14:textId="79E652DA" w:rsidR="00A652B6" w:rsidRPr="00CF0B0B" w:rsidRDefault="00A652B6" w:rsidP="006E25D9">
            <w:pPr>
              <w:rPr>
                <w:b/>
                <w:bCs/>
              </w:rPr>
            </w:pPr>
          </w:p>
        </w:tc>
      </w:tr>
    </w:tbl>
    <w:p w14:paraId="6A5CCFA6" w14:textId="6B36667A" w:rsidR="003334B0" w:rsidRDefault="003334B0"/>
    <w:p w14:paraId="4547B6A3" w14:textId="77777777" w:rsidR="00CF0B0B" w:rsidRDefault="00CF0B0B"/>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4400"/>
        <w:gridCol w:w="7920"/>
      </w:tblGrid>
      <w:tr w:rsidR="00C81571" w:rsidRPr="00CF0B0B" w14:paraId="38BCCE3C" w14:textId="77777777" w:rsidTr="7915AD7E">
        <w:trPr>
          <w:trHeight w:val="247"/>
        </w:trPr>
        <w:tc>
          <w:tcPr>
            <w:tcW w:w="1345" w:type="dxa"/>
            <w:vMerge w:val="restart"/>
            <w:shd w:val="clear" w:color="auto" w:fill="009900"/>
            <w:vAlign w:val="center"/>
          </w:tcPr>
          <w:p w14:paraId="1FEB0ACB" w14:textId="68970969" w:rsidR="00C81571" w:rsidRDefault="00C81571" w:rsidP="004B3FEB">
            <w:pPr>
              <w:jc w:val="center"/>
              <w:rPr>
                <w:b/>
                <w:bCs/>
                <w:color w:val="FFFFFF" w:themeColor="background1"/>
                <w:sz w:val="56"/>
                <w:szCs w:val="56"/>
              </w:rPr>
            </w:pPr>
            <w:r>
              <w:rPr>
                <w:b/>
                <w:bCs/>
                <w:color w:val="FFFFFF" w:themeColor="background1"/>
                <w:sz w:val="56"/>
                <w:szCs w:val="56"/>
              </w:rPr>
              <w:t>4</w:t>
            </w:r>
          </w:p>
        </w:tc>
        <w:tc>
          <w:tcPr>
            <w:tcW w:w="12320" w:type="dxa"/>
            <w:gridSpan w:val="2"/>
            <w:vAlign w:val="center"/>
          </w:tcPr>
          <w:p w14:paraId="357EAA4E" w14:textId="45468A8E" w:rsidR="0098156D" w:rsidRDefault="009C4695" w:rsidP="0098156D">
            <w:pPr>
              <w:rPr>
                <w:b/>
                <w:bCs/>
              </w:rPr>
            </w:pPr>
            <w:r>
              <w:rPr>
                <w:b/>
                <w:bCs/>
              </w:rPr>
              <w:t>WRITTEN</w:t>
            </w:r>
            <w:r w:rsidR="0098156D">
              <w:rPr>
                <w:b/>
                <w:bCs/>
              </w:rPr>
              <w:t xml:space="preserve"> REPORT | DUE DATE: </w:t>
            </w:r>
            <w:r>
              <w:rPr>
                <w:b/>
                <w:bCs/>
              </w:rPr>
              <w:t>June</w:t>
            </w:r>
            <w:r w:rsidR="0098156D">
              <w:rPr>
                <w:b/>
                <w:bCs/>
              </w:rPr>
              <w:t xml:space="preserve"> </w:t>
            </w:r>
            <w:r>
              <w:rPr>
                <w:b/>
                <w:bCs/>
              </w:rPr>
              <w:t>1</w:t>
            </w:r>
            <w:r w:rsidR="0098156D">
              <w:rPr>
                <w:b/>
                <w:bCs/>
              </w:rPr>
              <w:t>, 202</w:t>
            </w:r>
            <w:r>
              <w:rPr>
                <w:b/>
                <w:bCs/>
              </w:rPr>
              <w:t>3</w:t>
            </w:r>
          </w:p>
          <w:p w14:paraId="701D8D26" w14:textId="3B7DF21F" w:rsidR="00C81571" w:rsidRPr="00CF0B0B" w:rsidRDefault="00C81571" w:rsidP="006E25D9">
            <w:pPr>
              <w:rPr>
                <w:b/>
                <w:bCs/>
              </w:rPr>
            </w:pPr>
          </w:p>
        </w:tc>
      </w:tr>
      <w:tr w:rsidR="00205C43" w:rsidRPr="00CF0B0B" w14:paraId="1C327EBD" w14:textId="77777777" w:rsidTr="7915AD7E">
        <w:trPr>
          <w:trHeight w:val="247"/>
        </w:trPr>
        <w:tc>
          <w:tcPr>
            <w:tcW w:w="1345" w:type="dxa"/>
            <w:vMerge/>
          </w:tcPr>
          <w:p w14:paraId="7A5885FA" w14:textId="4598BB75" w:rsidR="00205C43" w:rsidRPr="00FC6EEE" w:rsidRDefault="00205C43" w:rsidP="006E25D9">
            <w:pPr>
              <w:jc w:val="center"/>
              <w:rPr>
                <w:b/>
                <w:bCs/>
                <w:color w:val="FFFFFF" w:themeColor="background1"/>
                <w:sz w:val="56"/>
                <w:szCs w:val="56"/>
              </w:rPr>
            </w:pPr>
          </w:p>
        </w:tc>
        <w:tc>
          <w:tcPr>
            <w:tcW w:w="4400" w:type="dxa"/>
            <w:vAlign w:val="center"/>
          </w:tcPr>
          <w:p w14:paraId="3118C5C7" w14:textId="4955F70A" w:rsidR="00205C43" w:rsidRPr="00CF0B0B" w:rsidRDefault="00205C43" w:rsidP="006E25D9">
            <w:pPr>
              <w:rPr>
                <w:b/>
                <w:bCs/>
              </w:rPr>
            </w:pPr>
            <w:r>
              <w:rPr>
                <w:b/>
                <w:bCs/>
              </w:rPr>
              <w:t>Question</w:t>
            </w:r>
          </w:p>
        </w:tc>
        <w:tc>
          <w:tcPr>
            <w:tcW w:w="7920" w:type="dxa"/>
            <w:vAlign w:val="center"/>
          </w:tcPr>
          <w:p w14:paraId="1E6823CF" w14:textId="255C0F70" w:rsidR="00205C43" w:rsidRPr="00CF0B0B" w:rsidRDefault="00205C43" w:rsidP="006E25D9">
            <w:pPr>
              <w:rPr>
                <w:b/>
                <w:bCs/>
              </w:rPr>
            </w:pPr>
            <w:r>
              <w:rPr>
                <w:b/>
                <w:bCs/>
              </w:rPr>
              <w:t>Response</w:t>
            </w:r>
          </w:p>
        </w:tc>
      </w:tr>
      <w:tr w:rsidR="00205C43" w:rsidRPr="00CF0B0B" w14:paraId="28D92F2E" w14:textId="77777777" w:rsidTr="7915AD7E">
        <w:trPr>
          <w:trHeight w:val="151"/>
        </w:trPr>
        <w:tc>
          <w:tcPr>
            <w:tcW w:w="1345" w:type="dxa"/>
            <w:vMerge/>
          </w:tcPr>
          <w:p w14:paraId="5834D786" w14:textId="77777777" w:rsidR="00205C43" w:rsidRPr="00FC6EEE" w:rsidRDefault="00205C43" w:rsidP="006E25D9">
            <w:pPr>
              <w:jc w:val="center"/>
              <w:rPr>
                <w:b/>
                <w:bCs/>
                <w:color w:val="FFFFFF" w:themeColor="background1"/>
                <w:sz w:val="56"/>
                <w:szCs w:val="56"/>
              </w:rPr>
            </w:pPr>
          </w:p>
        </w:tc>
        <w:tc>
          <w:tcPr>
            <w:tcW w:w="4400" w:type="dxa"/>
            <w:vAlign w:val="center"/>
          </w:tcPr>
          <w:p w14:paraId="7E3D18BA" w14:textId="03A2330D" w:rsidR="00205C43" w:rsidRPr="00CF0B0B" w:rsidRDefault="00205C43" w:rsidP="006E25D9">
            <w:pPr>
              <w:rPr>
                <w:b/>
                <w:bCs/>
              </w:rPr>
            </w:pPr>
            <w:r>
              <w:rPr>
                <w:b/>
                <w:bCs/>
              </w:rPr>
              <w:t>Summarize the results of your evaluation</w:t>
            </w:r>
            <w:r w:rsidR="00DE4637">
              <w:rPr>
                <w:b/>
                <w:bCs/>
              </w:rPr>
              <w:t xml:space="preserve"> of your EM Seminar.</w:t>
            </w:r>
            <w:r w:rsidR="00F55F48">
              <w:rPr>
                <w:b/>
                <w:bCs/>
              </w:rPr>
              <w:t xml:space="preserve"> (If there are noticeable themes</w:t>
            </w:r>
            <w:r w:rsidR="001908C1">
              <w:rPr>
                <w:b/>
                <w:bCs/>
              </w:rPr>
              <w:t xml:space="preserve"> name and summarize them below.)</w:t>
            </w:r>
          </w:p>
        </w:tc>
        <w:tc>
          <w:tcPr>
            <w:tcW w:w="7920" w:type="dxa"/>
          </w:tcPr>
          <w:p w14:paraId="08EA8ABD" w14:textId="175F0BF9" w:rsidR="00205C43" w:rsidRPr="00CF0B0B" w:rsidRDefault="00205C43" w:rsidP="00456EB3">
            <w:pPr>
              <w:rPr>
                <w:b/>
                <w:bCs/>
              </w:rPr>
            </w:pPr>
          </w:p>
        </w:tc>
      </w:tr>
      <w:tr w:rsidR="00205C43" w:rsidRPr="00CF0B0B" w14:paraId="25B33CF6" w14:textId="77777777" w:rsidTr="7915AD7E">
        <w:trPr>
          <w:trHeight w:val="97"/>
        </w:trPr>
        <w:tc>
          <w:tcPr>
            <w:tcW w:w="1345" w:type="dxa"/>
            <w:vMerge/>
          </w:tcPr>
          <w:p w14:paraId="2EF3CC3B" w14:textId="77777777" w:rsidR="00205C43" w:rsidRPr="00FC6EEE" w:rsidRDefault="00205C43" w:rsidP="006E25D9">
            <w:pPr>
              <w:jc w:val="center"/>
              <w:rPr>
                <w:b/>
                <w:bCs/>
                <w:color w:val="FFFFFF" w:themeColor="background1"/>
                <w:sz w:val="56"/>
                <w:szCs w:val="56"/>
              </w:rPr>
            </w:pPr>
          </w:p>
        </w:tc>
        <w:tc>
          <w:tcPr>
            <w:tcW w:w="4400" w:type="dxa"/>
            <w:vAlign w:val="center"/>
          </w:tcPr>
          <w:p w14:paraId="59EEC913" w14:textId="6BFD58C0" w:rsidR="00205C43" w:rsidRPr="00CF0B0B" w:rsidRDefault="008E6007" w:rsidP="001908C1">
            <w:pPr>
              <w:jc w:val="right"/>
              <w:rPr>
                <w:b/>
                <w:bCs/>
              </w:rPr>
            </w:pPr>
            <w:r>
              <w:rPr>
                <w:b/>
                <w:bCs/>
              </w:rPr>
              <w:t>(</w:t>
            </w:r>
            <w:r w:rsidR="001908C1">
              <w:rPr>
                <w:b/>
                <w:bCs/>
              </w:rPr>
              <w:t>Theme 1</w:t>
            </w:r>
            <w:r>
              <w:rPr>
                <w:b/>
                <w:bCs/>
              </w:rPr>
              <w:t>)</w:t>
            </w:r>
          </w:p>
        </w:tc>
        <w:tc>
          <w:tcPr>
            <w:tcW w:w="7920" w:type="dxa"/>
          </w:tcPr>
          <w:p w14:paraId="38A4CF58" w14:textId="459D3E61" w:rsidR="00205C43" w:rsidRPr="00CF0B0B" w:rsidRDefault="00205C43" w:rsidP="00456EB3">
            <w:pPr>
              <w:rPr>
                <w:b/>
                <w:bCs/>
              </w:rPr>
            </w:pPr>
          </w:p>
        </w:tc>
      </w:tr>
      <w:tr w:rsidR="00205C43" w:rsidRPr="00CF0B0B" w14:paraId="7BC1EB6E" w14:textId="77777777" w:rsidTr="7915AD7E">
        <w:trPr>
          <w:trHeight w:val="96"/>
        </w:trPr>
        <w:tc>
          <w:tcPr>
            <w:tcW w:w="1345" w:type="dxa"/>
            <w:vMerge/>
          </w:tcPr>
          <w:p w14:paraId="6836629C" w14:textId="77777777" w:rsidR="00205C43" w:rsidRPr="00FC6EEE" w:rsidRDefault="00205C43" w:rsidP="006E25D9">
            <w:pPr>
              <w:jc w:val="center"/>
              <w:rPr>
                <w:b/>
                <w:bCs/>
                <w:color w:val="FFFFFF" w:themeColor="background1"/>
                <w:sz w:val="56"/>
                <w:szCs w:val="56"/>
              </w:rPr>
            </w:pPr>
          </w:p>
        </w:tc>
        <w:tc>
          <w:tcPr>
            <w:tcW w:w="4400" w:type="dxa"/>
            <w:vAlign w:val="center"/>
          </w:tcPr>
          <w:p w14:paraId="0971F230" w14:textId="2CCE8D44" w:rsidR="00205C43" w:rsidRPr="00CF0B0B" w:rsidRDefault="008E6007" w:rsidP="001908C1">
            <w:pPr>
              <w:jc w:val="right"/>
              <w:rPr>
                <w:b/>
                <w:bCs/>
              </w:rPr>
            </w:pPr>
            <w:r>
              <w:rPr>
                <w:b/>
                <w:bCs/>
              </w:rPr>
              <w:t>(</w:t>
            </w:r>
            <w:r w:rsidR="001908C1">
              <w:rPr>
                <w:b/>
                <w:bCs/>
              </w:rPr>
              <w:t>Theme 2</w:t>
            </w:r>
            <w:r>
              <w:rPr>
                <w:b/>
                <w:bCs/>
              </w:rPr>
              <w:t>)</w:t>
            </w:r>
          </w:p>
        </w:tc>
        <w:tc>
          <w:tcPr>
            <w:tcW w:w="7920" w:type="dxa"/>
          </w:tcPr>
          <w:p w14:paraId="7364C40C" w14:textId="46D6B3F7" w:rsidR="00205C43" w:rsidRPr="00CF0B0B" w:rsidRDefault="00205C43" w:rsidP="00456EB3">
            <w:pPr>
              <w:rPr>
                <w:b/>
                <w:bCs/>
              </w:rPr>
            </w:pPr>
          </w:p>
        </w:tc>
      </w:tr>
      <w:tr w:rsidR="00205C43" w:rsidRPr="00CF0B0B" w14:paraId="24D5B95B" w14:textId="77777777" w:rsidTr="7915AD7E">
        <w:trPr>
          <w:trHeight w:val="96"/>
        </w:trPr>
        <w:tc>
          <w:tcPr>
            <w:tcW w:w="1345" w:type="dxa"/>
            <w:vMerge/>
          </w:tcPr>
          <w:p w14:paraId="4577A19A" w14:textId="77777777" w:rsidR="00205C43" w:rsidRPr="00FC6EEE" w:rsidRDefault="00205C43" w:rsidP="006E25D9">
            <w:pPr>
              <w:jc w:val="center"/>
              <w:rPr>
                <w:b/>
                <w:bCs/>
                <w:color w:val="FFFFFF" w:themeColor="background1"/>
                <w:sz w:val="56"/>
                <w:szCs w:val="56"/>
              </w:rPr>
            </w:pPr>
          </w:p>
        </w:tc>
        <w:tc>
          <w:tcPr>
            <w:tcW w:w="4400" w:type="dxa"/>
            <w:vAlign w:val="center"/>
          </w:tcPr>
          <w:p w14:paraId="197F78B9" w14:textId="1CE8DF63" w:rsidR="00205C43" w:rsidRPr="00CF0B0B" w:rsidRDefault="008E6007" w:rsidP="00267849">
            <w:pPr>
              <w:jc w:val="right"/>
              <w:rPr>
                <w:b/>
                <w:bCs/>
              </w:rPr>
            </w:pPr>
            <w:r>
              <w:rPr>
                <w:b/>
                <w:bCs/>
              </w:rPr>
              <w:t>(</w:t>
            </w:r>
            <w:r w:rsidR="00267849">
              <w:rPr>
                <w:b/>
                <w:bCs/>
              </w:rPr>
              <w:t>Theme 3</w:t>
            </w:r>
            <w:r>
              <w:rPr>
                <w:b/>
                <w:bCs/>
              </w:rPr>
              <w:t>)</w:t>
            </w:r>
          </w:p>
        </w:tc>
        <w:tc>
          <w:tcPr>
            <w:tcW w:w="7920" w:type="dxa"/>
          </w:tcPr>
          <w:p w14:paraId="4A471AA3" w14:textId="314F0A9C" w:rsidR="00205C43" w:rsidRPr="00CF0B0B" w:rsidRDefault="00205C43" w:rsidP="00456EB3">
            <w:pPr>
              <w:rPr>
                <w:b/>
                <w:bCs/>
              </w:rPr>
            </w:pPr>
          </w:p>
        </w:tc>
      </w:tr>
      <w:tr w:rsidR="00456EB3" w:rsidRPr="00CF0B0B" w14:paraId="44D2613F" w14:textId="77777777" w:rsidTr="7915AD7E">
        <w:trPr>
          <w:trHeight w:val="1761"/>
        </w:trPr>
        <w:tc>
          <w:tcPr>
            <w:tcW w:w="1345" w:type="dxa"/>
            <w:vMerge/>
          </w:tcPr>
          <w:p w14:paraId="4388629B" w14:textId="77777777" w:rsidR="00456EB3" w:rsidRPr="00FC6EEE" w:rsidRDefault="00456EB3" w:rsidP="006E25D9">
            <w:pPr>
              <w:jc w:val="center"/>
              <w:rPr>
                <w:b/>
                <w:bCs/>
                <w:color w:val="FFFFFF" w:themeColor="background1"/>
                <w:sz w:val="56"/>
                <w:szCs w:val="56"/>
              </w:rPr>
            </w:pPr>
          </w:p>
        </w:tc>
        <w:tc>
          <w:tcPr>
            <w:tcW w:w="4400" w:type="dxa"/>
          </w:tcPr>
          <w:p w14:paraId="623B9A97" w14:textId="1856AC5C" w:rsidR="00456EB3" w:rsidRPr="00CF0B0B" w:rsidRDefault="357D07CF" w:rsidP="00456EB3">
            <w:pPr>
              <w:rPr>
                <w:b/>
                <w:bCs/>
              </w:rPr>
            </w:pPr>
            <w:r w:rsidRPr="7915AD7E">
              <w:rPr>
                <w:b/>
                <w:bCs/>
              </w:rPr>
              <w:t xml:space="preserve">Summarize next steps for future seminars or other actions needed. If </w:t>
            </w:r>
            <w:r w:rsidR="21B3F964" w:rsidRPr="7915AD7E">
              <w:rPr>
                <w:b/>
                <w:bCs/>
              </w:rPr>
              <w:t>possible,</w:t>
            </w:r>
            <w:r w:rsidRPr="7915AD7E">
              <w:rPr>
                <w:b/>
                <w:bCs/>
              </w:rPr>
              <w:t xml:space="preserve"> note the timeline for start and completion.</w:t>
            </w:r>
          </w:p>
        </w:tc>
        <w:tc>
          <w:tcPr>
            <w:tcW w:w="7920" w:type="dxa"/>
          </w:tcPr>
          <w:p w14:paraId="23A67B3C" w14:textId="6BD94493" w:rsidR="00456EB3" w:rsidRPr="00CF0B0B" w:rsidRDefault="00456EB3" w:rsidP="00456EB3">
            <w:pPr>
              <w:rPr>
                <w:b/>
                <w:bCs/>
              </w:rPr>
            </w:pPr>
            <w:r>
              <w:rPr>
                <w:b/>
                <w:bCs/>
              </w:rPr>
              <w:tab/>
            </w:r>
          </w:p>
        </w:tc>
      </w:tr>
    </w:tbl>
    <w:p w14:paraId="700C2E78" w14:textId="415951DA"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7915AD7E">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034ED196" w14:textId="77777777" w:rsidR="004B3FEB" w:rsidRDefault="00051D92" w:rsidP="006E25D9">
            <w:pPr>
              <w:rPr>
                <w:b/>
                <w:bCs/>
              </w:rPr>
            </w:pPr>
            <w:r w:rsidRPr="7915AD7E">
              <w:rPr>
                <w:b/>
                <w:bCs/>
              </w:rPr>
              <w:t xml:space="preserve">Additional documentation due FEBRUARY 28, </w:t>
            </w:r>
            <w:bookmarkStart w:id="1" w:name="_Int_TpULgFeg"/>
            <w:proofErr w:type="gramStart"/>
            <w:r w:rsidRPr="7915AD7E">
              <w:rPr>
                <w:b/>
                <w:bCs/>
              </w:rPr>
              <w:t>2023</w:t>
            </w:r>
            <w:bookmarkEnd w:id="1"/>
            <w:proofErr w:type="gramEnd"/>
            <w:r w:rsidRPr="7915AD7E">
              <w:rPr>
                <w:b/>
                <w:bCs/>
              </w:rPr>
              <w:t xml:space="preserve"> to your program manager:</w:t>
            </w:r>
          </w:p>
          <w:p w14:paraId="6A4351D5" w14:textId="77777777" w:rsidR="00051D92" w:rsidRDefault="00051D92" w:rsidP="006E25D9">
            <w:pPr>
              <w:rPr>
                <w:b/>
                <w:bCs/>
              </w:rPr>
            </w:pPr>
          </w:p>
          <w:p w14:paraId="1917A211" w14:textId="77777777" w:rsidR="00051D92" w:rsidRDefault="00051D92" w:rsidP="006E25D9">
            <w:r w:rsidRPr="38BCE441">
              <w:t>Draft agenda, draft presentation slides, final list of speakers and brief biographies (supplied by speakers), draft seminar materials, draft pre- and post-tests, and draft participant evaluation survey</w:t>
            </w:r>
          </w:p>
          <w:p w14:paraId="44EE483A" w14:textId="38831DB6" w:rsidR="0043148E" w:rsidRDefault="0043148E" w:rsidP="006E25D9">
            <w:pPr>
              <w:rPr>
                <w:b/>
                <w:bCs/>
              </w:rPr>
            </w:pPr>
          </w:p>
        </w:tc>
      </w:tr>
      <w:tr w:rsidR="004B3FEB" w:rsidRPr="00CF0B0B" w14:paraId="674DC0B0" w14:textId="77777777" w:rsidTr="007C3FD9">
        <w:tc>
          <w:tcPr>
            <w:tcW w:w="1345" w:type="dxa"/>
            <w:vMerge/>
            <w:tcBorders>
              <w:left w:val="single" w:sz="12" w:space="0" w:color="auto"/>
              <w:bottom w:val="single" w:sz="12" w:space="0" w:color="auto"/>
            </w:tcBorders>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8ACB5C7" w14:textId="73E27FA6" w:rsidR="00051D92" w:rsidRDefault="00051D92" w:rsidP="00051D92">
            <w:pPr>
              <w:rPr>
                <w:b/>
                <w:bCs/>
              </w:rPr>
            </w:pPr>
            <w:r w:rsidRPr="7915AD7E">
              <w:rPr>
                <w:b/>
                <w:bCs/>
              </w:rPr>
              <w:t xml:space="preserve">Additional documentation due </w:t>
            </w:r>
            <w:r w:rsidR="0043148E" w:rsidRPr="7915AD7E">
              <w:rPr>
                <w:b/>
                <w:bCs/>
              </w:rPr>
              <w:t>June 1</w:t>
            </w:r>
            <w:r w:rsidRPr="7915AD7E">
              <w:rPr>
                <w:b/>
                <w:bCs/>
              </w:rPr>
              <w:t xml:space="preserve">, </w:t>
            </w:r>
            <w:bookmarkStart w:id="2" w:name="_Int_SXjQKAA3"/>
            <w:proofErr w:type="gramStart"/>
            <w:r w:rsidRPr="7915AD7E">
              <w:rPr>
                <w:b/>
                <w:bCs/>
              </w:rPr>
              <w:t>2023</w:t>
            </w:r>
            <w:bookmarkEnd w:id="2"/>
            <w:proofErr w:type="gramEnd"/>
            <w:r w:rsidRPr="7915AD7E">
              <w:rPr>
                <w:b/>
                <w:bCs/>
              </w:rPr>
              <w:t xml:space="preserve"> to your program manager:</w:t>
            </w:r>
          </w:p>
          <w:p w14:paraId="7E0879F6" w14:textId="77777777" w:rsidR="0043148E" w:rsidRDefault="0043148E" w:rsidP="00051D92">
            <w:pPr>
              <w:rPr>
                <w:b/>
                <w:bCs/>
              </w:rPr>
            </w:pPr>
          </w:p>
          <w:p w14:paraId="5CA5E3D7" w14:textId="4D72E66D" w:rsidR="0043148E" w:rsidRDefault="0043148E" w:rsidP="00051D92">
            <w:pPr>
              <w:rPr>
                <w:b/>
                <w:bCs/>
              </w:rPr>
            </w:pPr>
            <w:r w:rsidRPr="38BCE441">
              <w:t>Final presentation slides, sign-in sheets or roster of participants, evaluation results (to include raw survey results), all pre- and post-test scores and mean pre-test and post-test score</w:t>
            </w:r>
            <w:r w:rsidR="00B25753">
              <w:t>.</w:t>
            </w:r>
          </w:p>
          <w:p w14:paraId="0E0B6C7D" w14:textId="5BCB8F17" w:rsidR="004B3FEB" w:rsidRPr="00CF0B0B" w:rsidRDefault="004B3FEB" w:rsidP="006E25D9">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2D61" w14:textId="77777777" w:rsidR="0032174C" w:rsidRDefault="0032174C" w:rsidP="004B3FEB">
      <w:pPr>
        <w:spacing w:after="0" w:line="240" w:lineRule="auto"/>
      </w:pPr>
      <w:r>
        <w:separator/>
      </w:r>
    </w:p>
  </w:endnote>
  <w:endnote w:type="continuationSeparator" w:id="0">
    <w:p w14:paraId="2EE7AA0A" w14:textId="77777777" w:rsidR="0032174C" w:rsidRDefault="0032174C" w:rsidP="004B3FEB">
      <w:pPr>
        <w:spacing w:after="0" w:line="240" w:lineRule="auto"/>
      </w:pPr>
      <w:r>
        <w:continuationSeparator/>
      </w:r>
    </w:p>
  </w:endnote>
  <w:endnote w:type="continuationNotice" w:id="1">
    <w:p w14:paraId="43B259F7" w14:textId="77777777" w:rsidR="0032174C" w:rsidRDefault="00321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E6D50F" w14:textId="77777777" w:rsidR="004B3FEB" w:rsidRDefault="004B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C042" w14:textId="77777777" w:rsidR="0032174C" w:rsidRDefault="0032174C" w:rsidP="004B3FEB">
      <w:pPr>
        <w:spacing w:after="0" w:line="240" w:lineRule="auto"/>
      </w:pPr>
      <w:r>
        <w:separator/>
      </w:r>
    </w:p>
  </w:footnote>
  <w:footnote w:type="continuationSeparator" w:id="0">
    <w:p w14:paraId="63F958F1" w14:textId="77777777" w:rsidR="0032174C" w:rsidRDefault="0032174C" w:rsidP="004B3FEB">
      <w:pPr>
        <w:spacing w:after="0" w:line="240" w:lineRule="auto"/>
      </w:pPr>
      <w:r>
        <w:continuationSeparator/>
      </w:r>
    </w:p>
  </w:footnote>
  <w:footnote w:type="continuationNotice" w:id="1">
    <w:p w14:paraId="7E75B3AD" w14:textId="77777777" w:rsidR="0032174C" w:rsidRDefault="0032174C">
      <w:pPr>
        <w:spacing w:after="0" w:line="240" w:lineRule="auto"/>
      </w:pPr>
    </w:p>
  </w:footnote>
</w:footnotes>
</file>

<file path=word/intelligence2.xml><?xml version="1.0" encoding="utf-8"?>
<int2:intelligence xmlns:int2="http://schemas.microsoft.com/office/intelligence/2020/intelligence">
  <int2:observations>
    <int2:bookmark int2:bookmarkName="_Int_SXjQKAA3" int2:invalidationBookmarkName="" int2:hashCode="RFzS/TJzlivfCU" int2:id="aYe2F9G2">
      <int2:state int2:type="LegacyProofing" int2:value="Rejected"/>
    </int2:bookmark>
    <int2:bookmark int2:bookmarkName="_Int_TpULgFeg" int2:invalidationBookmarkName="" int2:hashCode="RFzS/TJzlivfCU" int2:id="mcP4HQos">
      <int2:state int2:type="LegacyProofing" int2:value="Rejected"/>
    </int2:bookmark>
    <int2:bookmark int2:bookmarkName="_Int_lzx7inZh" int2:invalidationBookmarkName="" int2:hashCode="5XXczHEUB1Tdhb" int2:id="GOLyX566">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7BF"/>
    <w:multiLevelType w:val="hybridMultilevel"/>
    <w:tmpl w:val="5140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2"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3"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4"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5" w15:restartNumberingAfterBreak="0">
    <w:nsid w:val="46D04AB3"/>
    <w:multiLevelType w:val="hybridMultilevel"/>
    <w:tmpl w:val="391A1168"/>
    <w:lvl w:ilvl="0" w:tplc="6F30E2D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7"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8"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9"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10"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1"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8"/>
  </w:num>
  <w:num w:numId="6">
    <w:abstractNumId w:val="7"/>
  </w:num>
  <w:num w:numId="7">
    <w:abstractNumId w:val="1"/>
  </w:num>
  <w:num w:numId="8">
    <w:abstractNumId w:val="10"/>
  </w:num>
  <w:num w:numId="9">
    <w:abstractNumId w:val="3"/>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15BFF"/>
    <w:rsid w:val="000320CF"/>
    <w:rsid w:val="00051D92"/>
    <w:rsid w:val="00092408"/>
    <w:rsid w:val="000A1F9E"/>
    <w:rsid w:val="00126D6E"/>
    <w:rsid w:val="00145B21"/>
    <w:rsid w:val="001868D6"/>
    <w:rsid w:val="001908C1"/>
    <w:rsid w:val="001A0B83"/>
    <w:rsid w:val="001A3A86"/>
    <w:rsid w:val="001B7AF7"/>
    <w:rsid w:val="001D4ED0"/>
    <w:rsid w:val="001F00EF"/>
    <w:rsid w:val="00205C43"/>
    <w:rsid w:val="00216239"/>
    <w:rsid w:val="00267849"/>
    <w:rsid w:val="00271640"/>
    <w:rsid w:val="00277CAB"/>
    <w:rsid w:val="00294C5A"/>
    <w:rsid w:val="002B7A3A"/>
    <w:rsid w:val="002C1DA3"/>
    <w:rsid w:val="002E7C36"/>
    <w:rsid w:val="0032174C"/>
    <w:rsid w:val="003334B0"/>
    <w:rsid w:val="00345878"/>
    <w:rsid w:val="0043148E"/>
    <w:rsid w:val="00456EB3"/>
    <w:rsid w:val="004B3FEB"/>
    <w:rsid w:val="00556754"/>
    <w:rsid w:val="005D0D9F"/>
    <w:rsid w:val="005D629B"/>
    <w:rsid w:val="0060111F"/>
    <w:rsid w:val="00655B8D"/>
    <w:rsid w:val="006B5388"/>
    <w:rsid w:val="006D5770"/>
    <w:rsid w:val="006E4A4C"/>
    <w:rsid w:val="00722302"/>
    <w:rsid w:val="0075321E"/>
    <w:rsid w:val="00755059"/>
    <w:rsid w:val="007571DE"/>
    <w:rsid w:val="00774DA2"/>
    <w:rsid w:val="007C12EA"/>
    <w:rsid w:val="007C3FD9"/>
    <w:rsid w:val="007E10F9"/>
    <w:rsid w:val="00800BB1"/>
    <w:rsid w:val="00887555"/>
    <w:rsid w:val="008B1652"/>
    <w:rsid w:val="008B233C"/>
    <w:rsid w:val="008E6007"/>
    <w:rsid w:val="008F7E6B"/>
    <w:rsid w:val="00905B06"/>
    <w:rsid w:val="00911BE2"/>
    <w:rsid w:val="00960868"/>
    <w:rsid w:val="0098156D"/>
    <w:rsid w:val="009C4695"/>
    <w:rsid w:val="009F7B1F"/>
    <w:rsid w:val="00A27A15"/>
    <w:rsid w:val="00A31240"/>
    <w:rsid w:val="00A37031"/>
    <w:rsid w:val="00A44FAC"/>
    <w:rsid w:val="00A520B8"/>
    <w:rsid w:val="00A652B6"/>
    <w:rsid w:val="00A92DD1"/>
    <w:rsid w:val="00AB7AA5"/>
    <w:rsid w:val="00AD61D6"/>
    <w:rsid w:val="00B25753"/>
    <w:rsid w:val="00B25C60"/>
    <w:rsid w:val="00B579B9"/>
    <w:rsid w:val="00BC35FB"/>
    <w:rsid w:val="00BC372B"/>
    <w:rsid w:val="00BC72B3"/>
    <w:rsid w:val="00BE0EBD"/>
    <w:rsid w:val="00BF04A7"/>
    <w:rsid w:val="00BF6D40"/>
    <w:rsid w:val="00C020E5"/>
    <w:rsid w:val="00C154FA"/>
    <w:rsid w:val="00C74693"/>
    <w:rsid w:val="00C81571"/>
    <w:rsid w:val="00C91517"/>
    <w:rsid w:val="00CA4592"/>
    <w:rsid w:val="00CE4123"/>
    <w:rsid w:val="00CF0B0B"/>
    <w:rsid w:val="00CF2071"/>
    <w:rsid w:val="00D96DEC"/>
    <w:rsid w:val="00DA414A"/>
    <w:rsid w:val="00DD506A"/>
    <w:rsid w:val="00DD6F88"/>
    <w:rsid w:val="00DE4637"/>
    <w:rsid w:val="00E73155"/>
    <w:rsid w:val="00F000D9"/>
    <w:rsid w:val="00F55F48"/>
    <w:rsid w:val="00FC6EEE"/>
    <w:rsid w:val="02F52908"/>
    <w:rsid w:val="06E87877"/>
    <w:rsid w:val="0AB1D0DD"/>
    <w:rsid w:val="0E472360"/>
    <w:rsid w:val="1822EB96"/>
    <w:rsid w:val="184F762D"/>
    <w:rsid w:val="1B4163FB"/>
    <w:rsid w:val="20148A0E"/>
    <w:rsid w:val="21B3F964"/>
    <w:rsid w:val="23FC70D4"/>
    <w:rsid w:val="25A72344"/>
    <w:rsid w:val="2F81AD5D"/>
    <w:rsid w:val="34ECE6B5"/>
    <w:rsid w:val="356A336A"/>
    <w:rsid w:val="357D07CF"/>
    <w:rsid w:val="36F4CCE8"/>
    <w:rsid w:val="37137F2B"/>
    <w:rsid w:val="44C9696C"/>
    <w:rsid w:val="458D73AD"/>
    <w:rsid w:val="49E85F55"/>
    <w:rsid w:val="4D0F2B8B"/>
    <w:rsid w:val="4F4445F4"/>
    <w:rsid w:val="54610C39"/>
    <w:rsid w:val="5BD55127"/>
    <w:rsid w:val="5C803B66"/>
    <w:rsid w:val="5C840323"/>
    <w:rsid w:val="67ADF30F"/>
    <w:rsid w:val="685CB8E3"/>
    <w:rsid w:val="6BE04B4D"/>
    <w:rsid w:val="6D30F984"/>
    <w:rsid w:val="6FC7E703"/>
    <w:rsid w:val="707850FE"/>
    <w:rsid w:val="7163B764"/>
    <w:rsid w:val="72849E91"/>
    <w:rsid w:val="7915AD7E"/>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AD61D6"/>
  </w:style>
  <w:style w:type="character" w:customStyle="1" w:styleId="normaltextrun">
    <w:name w:val="normaltextrun"/>
    <w:basedOn w:val="DefaultParagraphFont"/>
    <w:rsid w:val="001A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amburrino@health.nyc.gov"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7F8E0-4EF7-4F9A-BDD0-79D4E0233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customXml/itemProps4.xml><?xml version="1.0" encoding="utf-8"?>
<ds:datastoreItem xmlns:ds="http://schemas.openxmlformats.org/officeDocument/2006/customXml" ds:itemID="{D7A8CA8A-A0BD-4F07-BC2A-FD2A0C991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Darrin Pruitt</cp:lastModifiedBy>
  <cp:revision>34</cp:revision>
  <dcterms:created xsi:type="dcterms:W3CDTF">2022-09-22T17:27:00Z</dcterms:created>
  <dcterms:modified xsi:type="dcterms:W3CDTF">2022-10-11T17:39:00Z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