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BE04B4D" w:rsidP="25A72344" w:rsidRDefault="6BE04B4D" w14:paraId="13C3C0D9" w14:textId="7247F4F3">
      <w:pPr>
        <w:pStyle w:val="Heading1"/>
        <w:jc w:val="center"/>
        <w:rPr>
          <w:rFonts w:ascii="Calibri Light" w:hAnsi="Calibri Light"/>
        </w:rPr>
      </w:pPr>
      <w:r>
        <w:t>BP4 “</w:t>
      </w:r>
      <w:r w:rsidRPr="001C7E5F" w:rsidR="001C7E5F">
        <w:t>Conduct 2 notification drills with 44 NYC-based</w:t>
      </w:r>
      <w:r w:rsidR="005D0E17">
        <w:t xml:space="preserve"> </w:t>
      </w:r>
      <w:r w:rsidRPr="005D0E17" w:rsidR="005D0E17">
        <w:t>FQHC networks</w:t>
      </w:r>
      <w:r>
        <w:t>” deliverable template</w:t>
      </w:r>
    </w:p>
    <w:p w:rsidRPr="004B3FEB" w:rsidR="004B3FEB" w:rsidP="004B3FEB" w:rsidRDefault="004B3FEB" w14:paraId="10400F54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45"/>
        <w:gridCol w:w="9625"/>
      </w:tblGrid>
      <w:tr w:rsidR="00FC6EEE" w:rsidTr="00DA414A" w14:paraId="5876F266" w14:textId="77777777">
        <w:tc>
          <w:tcPr>
            <w:tcW w:w="40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CF0B0B" w:rsidP="00CF0B0B" w:rsidRDefault="00CF0B0B" w14:paraId="65DEF328" w14:textId="77777777">
            <w:pPr>
              <w:rPr>
                <w:b/>
                <w:bCs/>
              </w:rPr>
            </w:pPr>
          </w:p>
          <w:p w:rsidR="00FC6EEE" w:rsidP="00CF0B0B" w:rsidRDefault="00FC6EEE" w14:paraId="1D95BC65" w14:textId="4F32AB35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name:</w:t>
            </w:r>
          </w:p>
          <w:p w:rsidRPr="00CF0B0B" w:rsidR="00CF0B0B" w:rsidP="00CF0B0B" w:rsidRDefault="00CF0B0B" w14:paraId="1FE6DA28" w14:textId="79CBE178">
            <w:pPr>
              <w:rPr>
                <w:b/>
                <w:bCs/>
              </w:rPr>
            </w:pPr>
          </w:p>
        </w:tc>
        <w:tc>
          <w:tcPr>
            <w:tcW w:w="9625" w:type="dxa"/>
            <w:tcBorders>
              <w:left w:val="single" w:color="auto" w:sz="12" w:space="0"/>
            </w:tcBorders>
            <w:vAlign w:val="center"/>
          </w:tcPr>
          <w:p w:rsidR="00FC6EEE" w:rsidP="25A72344" w:rsidRDefault="00830D8E" w14:paraId="764BE401" w14:textId="0C764227">
            <w:pPr>
              <w:spacing w:line="259" w:lineRule="auto"/>
            </w:pPr>
            <w:r>
              <w:t>Primary care</w:t>
            </w:r>
            <w:r w:rsidR="00F000D9">
              <w:t xml:space="preserve"> sub-recipient</w:t>
            </w:r>
            <w:r>
              <w:t xml:space="preserve"> (CHCANYS)</w:t>
            </w:r>
          </w:p>
        </w:tc>
      </w:tr>
      <w:tr w:rsidR="00FC6EEE" w:rsidTr="00DA414A" w14:paraId="33EA5A6A" w14:textId="77777777">
        <w:tc>
          <w:tcPr>
            <w:tcW w:w="40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CF0B0B" w:rsidP="00CF0B0B" w:rsidRDefault="00CF0B0B" w14:paraId="23DE1E7D" w14:textId="77777777">
            <w:pPr>
              <w:rPr>
                <w:b/>
                <w:bCs/>
              </w:rPr>
            </w:pPr>
          </w:p>
          <w:p w:rsidR="00FC6EEE" w:rsidP="00CF0B0B" w:rsidRDefault="00FC6EEE" w14:paraId="233BFBAC" w14:textId="35233CB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name:</w:t>
            </w:r>
          </w:p>
          <w:p w:rsidRPr="00CF0B0B" w:rsidR="00CF0B0B" w:rsidP="00CF0B0B" w:rsidRDefault="00CF0B0B" w14:paraId="17DC23C9" w14:textId="146935A7">
            <w:pPr>
              <w:rPr>
                <w:b/>
                <w:bCs/>
              </w:rPr>
            </w:pPr>
          </w:p>
        </w:tc>
        <w:tc>
          <w:tcPr>
            <w:tcW w:w="9625" w:type="dxa"/>
            <w:tcBorders>
              <w:left w:val="single" w:color="auto" w:sz="12" w:space="0"/>
            </w:tcBorders>
            <w:vAlign w:val="center"/>
          </w:tcPr>
          <w:p w:rsidR="00FC6EEE" w:rsidP="00CF0B0B" w:rsidRDefault="00830D8E" w14:paraId="73558C0A" w14:textId="7FC00BF3">
            <w:r w:rsidRPr="00C00795">
              <w:rPr>
                <w:rFonts w:cstheme="minorHAnsi"/>
                <w:b/>
              </w:rPr>
              <w:t>C1.1 Conduct two (2) notification drills with 44 NYC-based FQHC networks</w:t>
            </w:r>
          </w:p>
        </w:tc>
      </w:tr>
    </w:tbl>
    <w:p w:rsidR="00FC6EEE" w:rsidRDefault="00FC6EEE" w14:paraId="7ED2B55E" w14:textId="6680507A"/>
    <w:p w:rsidR="00585AD3" w:rsidRDefault="00585AD3" w14:paraId="639C4C28" w14:textId="390EADD1"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Instructions: </w:t>
      </w:r>
      <w:r>
        <w:rPr>
          <w:rFonts w:ascii="Calibri" w:hAnsi="Calibri" w:cs="Calibri"/>
          <w:color w:val="000000"/>
          <w:shd w:val="clear" w:color="auto" w:fill="FFFFFF"/>
        </w:rPr>
        <w:t>Here are the steps to follow for completing this deliverable.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FC6EEE" w:rsidTr="63A25234" w14:paraId="5701FD06" w14:textId="77777777">
        <w:tc>
          <w:tcPr>
            <w:tcW w:w="13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8D08D" w:themeFill="accent6" w:themeFillTint="99"/>
            <w:tcMar/>
          </w:tcPr>
          <w:p w:rsidRPr="00FC6EEE" w:rsidR="00FC6EEE" w:rsidP="00FC6EEE" w:rsidRDefault="00FC6EEE" w14:paraId="2F9C59D6" w14:textId="093592B4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1</w:t>
            </w:r>
          </w:p>
        </w:tc>
        <w:tc>
          <w:tcPr>
            <w:tcW w:w="12325" w:type="dxa"/>
            <w:tcBorders>
              <w:left w:val="single" w:color="auto" w:sz="12" w:space="0"/>
            </w:tcBorders>
            <w:tcMar/>
            <w:vAlign w:val="center"/>
          </w:tcPr>
          <w:p w:rsidRPr="00CF0B0B" w:rsidR="00FC6EEE" w:rsidP="00FC6EEE" w:rsidRDefault="00FC6EEE" w14:paraId="1C2F2097" w14:textId="4A93BC9A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Make a note of the DOHMH Program Manager’s name and contact information.</w:t>
            </w:r>
          </w:p>
        </w:tc>
      </w:tr>
      <w:tr w:rsidR="00FC6EEE" w:rsidTr="63A25234" w14:paraId="6CBCC0C8" w14:textId="77777777">
        <w:tc>
          <w:tcPr>
            <w:tcW w:w="13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9CC2E5" w:themeFill="accent5" w:themeFillTint="99"/>
            <w:tcMar/>
          </w:tcPr>
          <w:p w:rsidRPr="00FC6EEE" w:rsidR="00FC6EEE" w:rsidP="00FC6EEE" w:rsidRDefault="00FC6EEE" w14:paraId="0254A38E" w14:textId="10DB3131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2</w:t>
            </w:r>
          </w:p>
        </w:tc>
        <w:tc>
          <w:tcPr>
            <w:tcW w:w="12325" w:type="dxa"/>
            <w:tcBorders>
              <w:left w:val="single" w:color="auto" w:sz="12" w:space="0"/>
            </w:tcBorders>
            <w:tcMar/>
            <w:vAlign w:val="center"/>
          </w:tcPr>
          <w:p w:rsidRPr="00CF0B0B" w:rsidR="00FC6EEE" w:rsidP="00FC6EEE" w:rsidRDefault="00FC6EEE" w14:paraId="04131FEF" w14:textId="603CF3BA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 xml:space="preserve">Review deliverable text taken from </w:t>
            </w:r>
            <w:r w:rsidR="00B25C60">
              <w:rPr>
                <w:b/>
                <w:bCs/>
              </w:rPr>
              <w:t xml:space="preserve">the </w:t>
            </w:r>
            <w:r w:rsidRPr="00CF0B0B">
              <w:rPr>
                <w:b/>
                <w:bCs/>
              </w:rPr>
              <w:t>SOW and direct any questions to your DOHMH Program Manager well before the deliverable due date(s).</w:t>
            </w:r>
          </w:p>
        </w:tc>
      </w:tr>
      <w:tr w:rsidR="00FC6EEE" w:rsidTr="63A25234" w14:paraId="3CB0003E" w14:textId="77777777">
        <w:tc>
          <w:tcPr>
            <w:tcW w:w="13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CC66"/>
            <w:tcMar/>
          </w:tcPr>
          <w:p w:rsidRPr="00FC6EEE" w:rsidR="00FC6EEE" w:rsidP="00FC6EEE" w:rsidRDefault="00FC6EEE" w14:paraId="5A756BAB" w14:textId="47061B3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3</w:t>
            </w:r>
          </w:p>
        </w:tc>
        <w:tc>
          <w:tcPr>
            <w:tcW w:w="12325" w:type="dxa"/>
            <w:tcBorders>
              <w:left w:val="single" w:color="auto" w:sz="12" w:space="0"/>
            </w:tcBorders>
            <w:tcMar/>
            <w:vAlign w:val="center"/>
          </w:tcPr>
          <w:p w:rsidRPr="00CF0B0B" w:rsidR="00FC6EEE" w:rsidP="00FC6EEE" w:rsidRDefault="00FC6EEE" w14:paraId="65B06F70" w14:textId="7B014DF6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 xml:space="preserve">Complete the fields for the </w:t>
            </w:r>
            <w:r w:rsidR="00704100">
              <w:rPr>
                <w:b/>
                <w:bCs/>
              </w:rPr>
              <w:t>first call down drill</w:t>
            </w:r>
            <w:r w:rsidRPr="00CF0B0B">
              <w:rPr>
                <w:b/>
                <w:bCs/>
              </w:rPr>
              <w:t>.</w:t>
            </w:r>
          </w:p>
        </w:tc>
      </w:tr>
      <w:tr w:rsidR="00FC6EEE" w:rsidTr="63A25234" w14:paraId="743A0883" w14:textId="77777777">
        <w:tc>
          <w:tcPr>
            <w:tcW w:w="13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9900"/>
            <w:tcMar/>
          </w:tcPr>
          <w:p w:rsidRPr="00FC6EEE" w:rsidR="00FC6EEE" w:rsidP="00FC6EEE" w:rsidRDefault="00FC6EEE" w14:paraId="47FD60AE" w14:textId="7165927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4</w:t>
            </w:r>
          </w:p>
        </w:tc>
        <w:tc>
          <w:tcPr>
            <w:tcW w:w="12325" w:type="dxa"/>
            <w:tcBorders>
              <w:left w:val="single" w:color="auto" w:sz="12" w:space="0"/>
            </w:tcBorders>
            <w:tcMar/>
            <w:vAlign w:val="center"/>
          </w:tcPr>
          <w:p w:rsidRPr="00CF0B0B" w:rsidR="00FC6EEE" w:rsidP="00FC6EEE" w:rsidRDefault="00704100" w14:paraId="5E72C69B" w14:textId="2FBA420B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 xml:space="preserve">Complete the fields for the </w:t>
            </w:r>
            <w:r>
              <w:rPr>
                <w:b/>
                <w:bCs/>
              </w:rPr>
              <w:t>second</w:t>
            </w:r>
            <w:r>
              <w:rPr>
                <w:b/>
                <w:bCs/>
              </w:rPr>
              <w:t xml:space="preserve"> call down drill</w:t>
            </w:r>
            <w:r w:rsidRPr="00CF0B0B">
              <w:rPr>
                <w:b/>
                <w:bCs/>
              </w:rPr>
              <w:t>.</w:t>
            </w:r>
          </w:p>
        </w:tc>
      </w:tr>
      <w:tr w:rsidR="00FC6EEE" w:rsidTr="63A25234" w14:paraId="74CB12A7" w14:textId="77777777">
        <w:tc>
          <w:tcPr>
            <w:tcW w:w="13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6600"/>
            <w:tcMar/>
          </w:tcPr>
          <w:p w:rsidRPr="00FC6EEE" w:rsidR="00FC6EEE" w:rsidP="00FC6EEE" w:rsidRDefault="00FC6EEE" w14:paraId="63FE25D8" w14:textId="2D979944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5</w:t>
            </w:r>
          </w:p>
        </w:tc>
        <w:tc>
          <w:tcPr>
            <w:tcW w:w="12325" w:type="dxa"/>
            <w:tcBorders>
              <w:left w:val="single" w:color="auto" w:sz="12" w:space="0"/>
            </w:tcBorders>
            <w:tcMar/>
            <w:vAlign w:val="center"/>
          </w:tcPr>
          <w:p w:rsidRPr="00CF0B0B" w:rsidR="00FC6EEE" w:rsidP="00FC6EEE" w:rsidRDefault="00A92DD1" w14:paraId="27FECB54" w14:textId="3DE70A74">
            <w:pPr>
              <w:rPr>
                <w:b w:val="1"/>
                <w:bCs w:val="1"/>
              </w:rPr>
            </w:pPr>
            <w:r w:rsidRPr="63A25234" w:rsidR="00A92DD1">
              <w:rPr>
                <w:b w:val="1"/>
                <w:bCs w:val="1"/>
              </w:rPr>
              <w:t>If provided below, s</w:t>
            </w:r>
            <w:r w:rsidRPr="63A25234" w:rsidR="00CF0B0B">
              <w:rPr>
                <w:b w:val="1"/>
                <w:bCs w:val="1"/>
              </w:rPr>
              <w:t xml:space="preserve">ubmit any additional documentation required to your DOHMH Program </w:t>
            </w:r>
            <w:r w:rsidRPr="63A25234" w:rsidR="2B5D7ED3">
              <w:rPr>
                <w:b w:val="1"/>
                <w:bCs w:val="1"/>
              </w:rPr>
              <w:t>M</w:t>
            </w:r>
            <w:r w:rsidRPr="63A25234" w:rsidR="00CF0B0B">
              <w:rPr>
                <w:b w:val="1"/>
                <w:bCs w:val="1"/>
              </w:rPr>
              <w:t>anager. This is noted in the deliverable text</w:t>
            </w:r>
            <w:r w:rsidRPr="63A25234" w:rsidR="00A92DD1">
              <w:rPr>
                <w:b w:val="1"/>
                <w:bCs w:val="1"/>
              </w:rPr>
              <w:t xml:space="preserve"> (</w:t>
            </w:r>
            <w:r w:rsidRPr="63A25234" w:rsidR="00BC72B3">
              <w:rPr>
                <w:b w:val="1"/>
                <w:bCs w:val="1"/>
              </w:rPr>
              <w:t>step</w:t>
            </w:r>
            <w:r w:rsidRPr="63A25234" w:rsidR="00A92DD1">
              <w:rPr>
                <w:b w:val="1"/>
                <w:bCs w:val="1"/>
              </w:rPr>
              <w:t xml:space="preserve"> 2)</w:t>
            </w:r>
            <w:r w:rsidRPr="63A25234" w:rsidR="00CF0B0B">
              <w:rPr>
                <w:b w:val="1"/>
                <w:bCs w:val="1"/>
              </w:rPr>
              <w:t xml:space="preserve"> as well as below</w:t>
            </w:r>
            <w:r w:rsidRPr="63A25234" w:rsidR="00704100">
              <w:rPr>
                <w:b w:val="1"/>
                <w:bCs w:val="1"/>
              </w:rPr>
              <w:t xml:space="preserve"> in item 5</w:t>
            </w:r>
            <w:r w:rsidRPr="63A25234" w:rsidR="00CF0B0B">
              <w:rPr>
                <w:b w:val="1"/>
                <w:bCs w:val="1"/>
              </w:rPr>
              <w:t>.</w:t>
            </w:r>
          </w:p>
        </w:tc>
      </w:tr>
    </w:tbl>
    <w:p w:rsidR="00CF0B0B" w:rsidRDefault="00CF0B0B" w14:paraId="2CE61281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Pr="00CF0B0B" w:rsidR="00CF0B0B" w:rsidTr="007571DE" w14:paraId="1B9CDC5E" w14:textId="77777777">
        <w:tc>
          <w:tcPr>
            <w:tcW w:w="13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8D08D" w:themeFill="accent6" w:themeFillTint="99"/>
            <w:vAlign w:val="center"/>
          </w:tcPr>
          <w:p w:rsidRPr="00FC6EEE" w:rsidR="00CF0B0B" w:rsidP="00CF0B0B" w:rsidRDefault="00CF0B0B" w14:paraId="2D50E6C3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1</w:t>
            </w:r>
          </w:p>
        </w:tc>
        <w:tc>
          <w:tcPr>
            <w:tcW w:w="123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CF0B0B" w:rsidP="006E25D9" w:rsidRDefault="00CF0B0B" w14:paraId="7CECD871" w14:textId="77777777">
            <w:pPr>
              <w:rPr>
                <w:b/>
                <w:bCs/>
              </w:rPr>
            </w:pPr>
          </w:p>
          <w:p w:rsidR="00CF0B0B" w:rsidP="006E25D9" w:rsidRDefault="00CF0B0B" w14:paraId="529C8C8E" w14:textId="7E9C9FBB">
            <w:pPr>
              <w:rPr>
                <w:rFonts w:ascii="Calibri" w:hAnsi="Calibri" w:eastAsia="Calibri" w:cs="Calibri"/>
              </w:rPr>
            </w:pPr>
            <w:r>
              <w:rPr>
                <w:b/>
                <w:bCs/>
              </w:rPr>
              <w:t>DOHMH Program Manager:</w:t>
            </w:r>
            <w:r w:rsidR="008F7E6B">
              <w:rPr>
                <w:b/>
                <w:bCs/>
              </w:rPr>
              <w:t xml:space="preserve"> </w:t>
            </w:r>
            <w:r w:rsidRPr="00D5067C" w:rsidR="00211B6E">
              <w:t>Philip Tamburrino, MPH</w:t>
            </w:r>
          </w:p>
          <w:p w:rsidR="00CF0B0B" w:rsidP="006E25D9" w:rsidRDefault="00CF0B0B" w14:paraId="1EEF9E36" w14:textId="6F40CB03">
            <w:pPr>
              <w:rPr>
                <w:b/>
                <w:bCs/>
              </w:rPr>
            </w:pPr>
            <w:r>
              <w:rPr>
                <w:b/>
                <w:bCs/>
              </w:rPr>
              <w:t>Phone number:</w:t>
            </w:r>
            <w:r w:rsidR="002C1DA3">
              <w:rPr>
                <w:b/>
                <w:bCs/>
              </w:rPr>
              <w:t xml:space="preserve"> </w:t>
            </w:r>
            <w:r w:rsidR="00D5067C">
              <w:t>91</w:t>
            </w:r>
            <w:r w:rsidR="356A336A">
              <w:t>7-</w:t>
            </w:r>
            <w:r w:rsidR="00D5067C">
              <w:t>622</w:t>
            </w:r>
            <w:r w:rsidR="356A336A">
              <w:t>-</w:t>
            </w:r>
            <w:r w:rsidR="00190909">
              <w:t>7942</w:t>
            </w:r>
          </w:p>
          <w:p w:rsidR="00CF0B0B" w:rsidP="00190909" w:rsidRDefault="00CF0B0B" w14:paraId="3EE77B2F" w14:textId="77777777">
            <w:pPr>
              <w:rPr>
                <w:rFonts w:eastAsia="Times New Roman" w:cstheme="minorHAnsi"/>
                <w:color w:val="000000"/>
                <w:u w:val="single"/>
                <w:shd w:val="clear" w:color="auto" w:fill="FFFFFF"/>
              </w:rPr>
            </w:pPr>
            <w:r w:rsidRPr="458D73AD">
              <w:rPr>
                <w:b/>
                <w:bCs/>
              </w:rPr>
              <w:t>Email:</w:t>
            </w:r>
            <w:r w:rsidRPr="458D73AD" w:rsidR="7D948B7B">
              <w:rPr>
                <w:b/>
                <w:bCs/>
              </w:rPr>
              <w:t xml:space="preserve"> </w:t>
            </w:r>
            <w:hyperlink w:history="1" r:id="rId11">
              <w:r w:rsidRPr="00190909" w:rsidR="00190909">
                <w:rPr>
                  <w:rStyle w:val="Hyperlink"/>
                  <w:rFonts w:eastAsia="Times New Roman" w:cstheme="minorHAnsi"/>
                  <w:shd w:val="clear" w:color="auto" w:fill="FFFFFF"/>
                </w:rPr>
                <w:t>Ptamburrino@health.nyc.gov</w:t>
              </w:r>
            </w:hyperlink>
          </w:p>
          <w:p w:rsidRPr="00CF0B0B" w:rsidR="00190909" w:rsidP="00190909" w:rsidRDefault="00190909" w14:paraId="13B1808A" w14:textId="4A8DD9C0">
            <w:pPr>
              <w:rPr>
                <w:b/>
                <w:bCs/>
              </w:rPr>
            </w:pPr>
          </w:p>
        </w:tc>
      </w:tr>
    </w:tbl>
    <w:p w:rsidR="00CF0B0B" w:rsidRDefault="00CF0B0B" w14:paraId="74CBC5C5" w14:textId="0A7C0CDF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Pr="00CF0B0B" w:rsidR="00CF0B0B" w:rsidTr="007571DE" w14:paraId="4D359587" w14:textId="77777777">
        <w:tc>
          <w:tcPr>
            <w:tcW w:w="13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9CC2E5" w:themeFill="accent5" w:themeFillTint="99"/>
            <w:vAlign w:val="center"/>
          </w:tcPr>
          <w:p w:rsidRPr="00FC6EEE" w:rsidR="00CF0B0B" w:rsidP="00CF0B0B" w:rsidRDefault="00CF0B0B" w14:paraId="6BBEB865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lastRenderedPageBreak/>
              <w:t>2</w:t>
            </w:r>
          </w:p>
        </w:tc>
        <w:tc>
          <w:tcPr>
            <w:tcW w:w="12325" w:type="dxa"/>
            <w:tcBorders>
              <w:left w:val="single" w:color="auto" w:sz="12" w:space="0"/>
            </w:tcBorders>
            <w:vAlign w:val="center"/>
          </w:tcPr>
          <w:p w:rsidR="00B25C60" w:rsidP="25A72344" w:rsidRDefault="00B25C60" w14:paraId="1D369F95" w14:textId="2C1DAA6D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CF0B0B">
              <w:rPr>
                <w:b/>
                <w:bCs/>
              </w:rPr>
              <w:t xml:space="preserve">eliverable </w:t>
            </w:r>
            <w:r>
              <w:rPr>
                <w:b/>
                <w:bCs/>
              </w:rPr>
              <w:t>as per</w:t>
            </w:r>
            <w:r w:rsidRPr="00CF0B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the </w:t>
            </w:r>
            <w:r w:rsidRPr="00CF0B0B">
              <w:rPr>
                <w:b/>
                <w:bCs/>
              </w:rPr>
              <w:t>SOW</w:t>
            </w:r>
            <w:r w:rsidRPr="25A72344">
              <w:rPr>
                <w:b/>
                <w:bCs/>
              </w:rPr>
              <w:t xml:space="preserve"> </w:t>
            </w:r>
          </w:p>
          <w:p w:rsidR="00B25C60" w:rsidP="25A72344" w:rsidRDefault="00B25C60" w14:paraId="1323F4D2" w14:textId="77777777">
            <w:pPr>
              <w:rPr>
                <w:b/>
                <w:bCs/>
              </w:rPr>
            </w:pPr>
          </w:p>
          <w:p w:rsidR="00CF0B0B" w:rsidP="25A72344" w:rsidRDefault="4F4445F4" w14:paraId="4D76FA73" w14:textId="5394EBB9">
            <w:pPr>
              <w:rPr>
                <w:b/>
                <w:bCs/>
              </w:rPr>
            </w:pPr>
            <w:r w:rsidRPr="25A72344">
              <w:rPr>
                <w:b/>
                <w:bCs/>
              </w:rPr>
              <w:t>Required Activities:</w:t>
            </w:r>
          </w:p>
          <w:p w:rsidRPr="00C00795" w:rsidR="00365E05" w:rsidP="00365E05" w:rsidRDefault="00365E05" w14:paraId="6A349488" w14:textId="77777777">
            <w:pPr>
              <w:rPr>
                <w:rFonts w:cstheme="minorHAnsi"/>
                <w:b/>
                <w:color w:val="FF0000"/>
              </w:rPr>
            </w:pPr>
            <w:r w:rsidRPr="00C00795">
              <w:rPr>
                <w:rFonts w:cstheme="minorHAnsi"/>
                <w:bCs/>
              </w:rPr>
              <w:t>Using protocols developed by Sub-recipient, plan and conduct two (2) notification drills with NYC-based FQHC networks (N=44) including at least one (1) point of contact per FQHC network to increase response rates and improve communications among NYC-based FQHC networks and Sub-recipient. Determine and share drill parameters and general timeframe for response with members prior to conduct of the drill</w:t>
            </w:r>
            <w:r>
              <w:rPr>
                <w:rFonts w:cstheme="minorHAnsi"/>
                <w:bCs/>
              </w:rPr>
              <w:t xml:space="preserve"> (the drill must include one interactive component, e.g., request health center operating capacity)</w:t>
            </w:r>
            <w:r w:rsidRPr="00C00795">
              <w:rPr>
                <w:rFonts w:cstheme="minorHAnsi"/>
                <w:bCs/>
              </w:rPr>
              <w:t xml:space="preserve">. Compile and share aggregate results with all participants following </w:t>
            </w:r>
            <w:r>
              <w:rPr>
                <w:rFonts w:cstheme="minorHAnsi"/>
                <w:bCs/>
              </w:rPr>
              <w:t xml:space="preserve">each </w:t>
            </w:r>
            <w:r w:rsidRPr="00C00795">
              <w:rPr>
                <w:rFonts w:cstheme="minorHAnsi"/>
                <w:bCs/>
              </w:rPr>
              <w:t>drill.</w:t>
            </w:r>
          </w:p>
          <w:p w:rsidR="00CF0B0B" w:rsidP="25A72344" w:rsidRDefault="00CF0B0B" w14:paraId="068A980D" w14:textId="50EE49A3">
            <w:pPr>
              <w:rPr>
                <w:b/>
                <w:bCs/>
              </w:rPr>
            </w:pPr>
          </w:p>
          <w:p w:rsidRPr="00CF0B0B" w:rsidR="00CF0B0B" w:rsidP="25A72344" w:rsidRDefault="4F4445F4" w14:paraId="62CF65F1" w14:textId="54322EF4">
            <w:pPr>
              <w:rPr>
                <w:rFonts w:ascii="Calibri" w:hAnsi="Calibri" w:eastAsia="Calibri" w:cs="Calibri"/>
              </w:rPr>
            </w:pPr>
            <w:r w:rsidRPr="25A72344">
              <w:rPr>
                <w:b/>
                <w:bCs/>
              </w:rPr>
              <w:t>Required Documentation:</w:t>
            </w:r>
          </w:p>
          <w:p w:rsidRPr="00997939" w:rsidR="00CF0B0B" w:rsidP="00997939" w:rsidRDefault="00997939" w14:paraId="470AFFB9" w14:textId="3B267CA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</w:rPr>
            </w:pPr>
            <w:r w:rsidRPr="78CCA306">
              <w:t>Completed summary report of participation and response rate for one (1) notification drill occurring in the midterm performance period of the contract (November 1, 2022 to February 28, 2023).</w:t>
            </w:r>
          </w:p>
          <w:p w:rsidRPr="00997939" w:rsidR="00997939" w:rsidP="00997939" w:rsidRDefault="00F44BE0" w14:paraId="3B8D7B4F" w14:textId="737CC8C2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</w:rPr>
            </w:pPr>
            <w:r w:rsidRPr="1925A75D">
              <w:rPr>
                <w:color w:val="000000" w:themeColor="text1"/>
              </w:rPr>
              <w:t>Completed summary report of participation and response rate for one (1) notification drill occurring in the final performance period of the contract (March 1 to June 1, 2023).</w:t>
            </w:r>
          </w:p>
          <w:p w:rsidRPr="00CF0B0B" w:rsidR="00CF0B0B" w:rsidP="458D73AD" w:rsidRDefault="00CF0B0B" w14:paraId="0EB4E804" w14:textId="750C6B92">
            <w:pPr>
              <w:pStyle w:val="ListParagraph"/>
              <w:rPr>
                <w:rFonts w:ascii="Calibri" w:hAnsi="Calibri" w:eastAsia="Calibri" w:cs="Calibri"/>
              </w:rPr>
            </w:pPr>
          </w:p>
        </w:tc>
      </w:tr>
    </w:tbl>
    <w:p w:rsidR="00CF0B0B" w:rsidRDefault="00CF0B0B" w14:paraId="71C6955C" w14:textId="77777777"/>
    <w:p w:rsidR="003334B0" w:rsidRDefault="003334B0" w14:paraId="77797AE7" w14:textId="0B3D0147">
      <w:r>
        <w:br w:type="page"/>
      </w:r>
    </w:p>
    <w:p w:rsidR="007571DE" w:rsidRDefault="007571DE" w14:paraId="3E66A788" w14:textId="77777777"/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345"/>
        <w:gridCol w:w="5300"/>
        <w:gridCol w:w="7020"/>
      </w:tblGrid>
      <w:tr w:rsidRPr="00CF0B0B" w:rsidR="004B3FEB" w:rsidTr="005D0D9F" w14:paraId="371F95DF" w14:textId="77777777">
        <w:trPr>
          <w:trHeight w:val="97"/>
        </w:trPr>
        <w:tc>
          <w:tcPr>
            <w:tcW w:w="1345" w:type="dxa"/>
            <w:vMerge w:val="restart"/>
            <w:shd w:val="clear" w:color="auto" w:fill="FFCC66"/>
            <w:vAlign w:val="center"/>
          </w:tcPr>
          <w:p w:rsidRPr="00FC6EEE" w:rsidR="004B3FEB" w:rsidP="004B3FEB" w:rsidRDefault="004B3FEB" w14:paraId="1BB63F1A" w14:textId="130EC97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3</w:t>
            </w:r>
          </w:p>
        </w:tc>
        <w:tc>
          <w:tcPr>
            <w:tcW w:w="12320" w:type="dxa"/>
            <w:gridSpan w:val="2"/>
            <w:vAlign w:val="center"/>
          </w:tcPr>
          <w:p w:rsidR="004B3FEB" w:rsidP="006E25D9" w:rsidRDefault="003E5F9C" w14:paraId="14057480" w14:textId="6D32D1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SUMMARY REPORT </w:t>
            </w:r>
            <w:r w:rsidR="005A7552">
              <w:rPr>
                <w:b/>
                <w:bCs/>
              </w:rPr>
              <w:t xml:space="preserve">(First call down drill) </w:t>
            </w:r>
            <w:r w:rsidR="00C91517">
              <w:rPr>
                <w:b/>
                <w:bCs/>
              </w:rPr>
              <w:t xml:space="preserve">| </w:t>
            </w:r>
            <w:r w:rsidR="004B3FEB">
              <w:rPr>
                <w:b/>
                <w:bCs/>
              </w:rPr>
              <w:t xml:space="preserve">DUE DATE: </w:t>
            </w:r>
            <w:r>
              <w:rPr>
                <w:b/>
                <w:bCs/>
              </w:rPr>
              <w:t>February</w:t>
            </w:r>
            <w:r w:rsidR="007C12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28</w:t>
            </w:r>
            <w:r w:rsidR="007C12EA">
              <w:rPr>
                <w:b/>
                <w:bCs/>
              </w:rPr>
              <w:t>, 202</w:t>
            </w:r>
            <w:r>
              <w:rPr>
                <w:b/>
                <w:bCs/>
              </w:rPr>
              <w:t>3</w:t>
            </w:r>
          </w:p>
          <w:p w:rsidRPr="00CF0B0B" w:rsidR="00A652B6" w:rsidP="006E25D9" w:rsidRDefault="00A652B6" w14:paraId="399F80DE" w14:textId="79E652DA">
            <w:pPr>
              <w:rPr>
                <w:b/>
                <w:bCs/>
              </w:rPr>
            </w:pPr>
          </w:p>
        </w:tc>
      </w:tr>
      <w:tr w:rsidRPr="00CF0B0B" w:rsidR="006E5792" w:rsidTr="005A7552" w14:paraId="351C21E6" w14:textId="77777777">
        <w:trPr>
          <w:trHeight w:val="96"/>
        </w:trPr>
        <w:tc>
          <w:tcPr>
            <w:tcW w:w="1345" w:type="dxa"/>
            <w:vMerge/>
            <w:shd w:val="clear" w:color="auto" w:fill="FFCC66"/>
          </w:tcPr>
          <w:p w:rsidRPr="00FC6EEE" w:rsidR="006E5792" w:rsidP="006E25D9" w:rsidRDefault="006E5792" w14:paraId="2FBAE202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5300" w:type="dxa"/>
            <w:vAlign w:val="center"/>
          </w:tcPr>
          <w:p w:rsidR="006E5792" w:rsidP="006E25D9" w:rsidRDefault="006E5792" w14:paraId="2F7D2BE3" w14:textId="2E5E95F8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7020" w:type="dxa"/>
            <w:vAlign w:val="center"/>
          </w:tcPr>
          <w:p w:rsidR="006E5792" w:rsidP="006E25D9" w:rsidRDefault="006E5792" w14:paraId="7009700A" w14:textId="12BE0F71">
            <w:pPr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  <w:r w:rsidR="0087600B">
              <w:rPr>
                <w:b/>
                <w:bCs/>
              </w:rPr>
              <w:t xml:space="preserve"> (Sections below will expand as you type.)</w:t>
            </w:r>
          </w:p>
        </w:tc>
      </w:tr>
      <w:tr w:rsidRPr="00CF0B0B" w:rsidR="00EE366E" w:rsidTr="005A7552" w14:paraId="1001C8C1" w14:textId="77777777">
        <w:trPr>
          <w:trHeight w:val="96"/>
        </w:trPr>
        <w:tc>
          <w:tcPr>
            <w:tcW w:w="1345" w:type="dxa"/>
            <w:vMerge/>
            <w:shd w:val="clear" w:color="auto" w:fill="FFCC66"/>
          </w:tcPr>
          <w:p w:rsidRPr="00FC6EEE" w:rsidR="00EE366E" w:rsidP="006E25D9" w:rsidRDefault="00EE366E" w14:paraId="5E5E8658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5300" w:type="dxa"/>
            <w:vAlign w:val="center"/>
          </w:tcPr>
          <w:p w:rsidR="00EE366E" w:rsidP="006E25D9" w:rsidRDefault="00EE366E" w14:paraId="6B54CE49" w14:textId="6E3CD0EA">
            <w:pPr>
              <w:rPr>
                <w:b/>
                <w:bCs/>
              </w:rPr>
            </w:pPr>
            <w:r>
              <w:rPr>
                <w:b/>
                <w:bCs/>
              </w:rPr>
              <w:t>Date of the call down drill.</w:t>
            </w:r>
          </w:p>
        </w:tc>
        <w:tc>
          <w:tcPr>
            <w:tcW w:w="7020" w:type="dxa"/>
            <w:vAlign w:val="center"/>
          </w:tcPr>
          <w:p w:rsidR="00EE366E" w:rsidP="006E25D9" w:rsidRDefault="00EE366E" w14:paraId="2F7AAB13" w14:textId="77777777">
            <w:pPr>
              <w:rPr>
                <w:b/>
                <w:bCs/>
              </w:rPr>
            </w:pPr>
          </w:p>
        </w:tc>
      </w:tr>
      <w:tr w:rsidRPr="00CF0B0B" w:rsidR="00F63FBC" w:rsidTr="005A7552" w14:paraId="611AD166" w14:textId="77777777">
        <w:trPr>
          <w:trHeight w:val="96"/>
        </w:trPr>
        <w:tc>
          <w:tcPr>
            <w:tcW w:w="1345" w:type="dxa"/>
            <w:vMerge/>
            <w:shd w:val="clear" w:color="auto" w:fill="FFCC66"/>
          </w:tcPr>
          <w:p w:rsidRPr="00FC6EEE" w:rsidR="00F63FBC" w:rsidP="006E25D9" w:rsidRDefault="00F63FBC" w14:paraId="36BD3914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5300" w:type="dxa"/>
            <w:vAlign w:val="center"/>
          </w:tcPr>
          <w:p w:rsidR="00F63FBC" w:rsidP="006E25D9" w:rsidRDefault="00F63FBC" w14:paraId="14438DE2" w14:textId="131B0295">
            <w:pPr>
              <w:rPr>
                <w:b/>
                <w:bCs/>
              </w:rPr>
            </w:pPr>
            <w:r>
              <w:rPr>
                <w:b/>
                <w:bCs/>
              </w:rPr>
              <w:t>How long did those called have to respond?</w:t>
            </w:r>
          </w:p>
        </w:tc>
        <w:tc>
          <w:tcPr>
            <w:tcW w:w="7020" w:type="dxa"/>
            <w:vAlign w:val="center"/>
          </w:tcPr>
          <w:p w:rsidR="00F63FBC" w:rsidP="006E25D9" w:rsidRDefault="00F63FBC" w14:paraId="7EA6D3DD" w14:textId="77777777">
            <w:pPr>
              <w:rPr>
                <w:b/>
                <w:bCs/>
              </w:rPr>
            </w:pPr>
          </w:p>
        </w:tc>
      </w:tr>
      <w:tr w:rsidRPr="00CF0B0B" w:rsidR="00EE366E" w:rsidTr="005A7552" w14:paraId="184D3C18" w14:textId="77777777">
        <w:trPr>
          <w:trHeight w:val="96"/>
        </w:trPr>
        <w:tc>
          <w:tcPr>
            <w:tcW w:w="1345" w:type="dxa"/>
            <w:vMerge/>
            <w:shd w:val="clear" w:color="auto" w:fill="FFCC66"/>
          </w:tcPr>
          <w:p w:rsidRPr="00FC6EEE" w:rsidR="00EE366E" w:rsidP="006E25D9" w:rsidRDefault="00EE366E" w14:paraId="3F09DFEF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5300" w:type="dxa"/>
            <w:vAlign w:val="center"/>
          </w:tcPr>
          <w:p w:rsidR="00EE366E" w:rsidP="006E25D9" w:rsidRDefault="00EE366E" w14:paraId="78E09F80" w14:textId="35E93F2F">
            <w:pPr>
              <w:rPr>
                <w:b/>
                <w:bCs/>
              </w:rPr>
            </w:pPr>
            <w:r>
              <w:rPr>
                <w:b/>
                <w:bCs/>
              </w:rPr>
              <w:t>Method used to conduct the drill (</w:t>
            </w:r>
            <w:r w:rsidR="0057064E">
              <w:rPr>
                <w:b/>
                <w:bCs/>
              </w:rPr>
              <w:t xml:space="preserve">VEOCI, </w:t>
            </w:r>
            <w:proofErr w:type="spellStart"/>
            <w:r w:rsidR="0057064E">
              <w:rPr>
                <w:b/>
                <w:bCs/>
              </w:rPr>
              <w:t>SitStat</w:t>
            </w:r>
            <w:proofErr w:type="spellEnd"/>
            <w:r w:rsidR="0057064E">
              <w:rPr>
                <w:b/>
                <w:bCs/>
              </w:rPr>
              <w:t>, etc.). If more than one method was used, please describe.</w:t>
            </w:r>
          </w:p>
        </w:tc>
        <w:tc>
          <w:tcPr>
            <w:tcW w:w="7020" w:type="dxa"/>
            <w:vAlign w:val="center"/>
          </w:tcPr>
          <w:p w:rsidR="00EE366E" w:rsidP="006E25D9" w:rsidRDefault="00EE366E" w14:paraId="5C53DCDF" w14:textId="77777777">
            <w:pPr>
              <w:rPr>
                <w:b/>
                <w:bCs/>
              </w:rPr>
            </w:pPr>
          </w:p>
        </w:tc>
      </w:tr>
      <w:tr w:rsidRPr="00CF0B0B" w:rsidR="004B3FEB" w:rsidTr="005A7552" w14:paraId="0A3E6A6D" w14:textId="77777777">
        <w:trPr>
          <w:trHeight w:val="96"/>
        </w:trPr>
        <w:tc>
          <w:tcPr>
            <w:tcW w:w="1345" w:type="dxa"/>
            <w:vMerge/>
            <w:shd w:val="clear" w:color="auto" w:fill="FFCC66"/>
          </w:tcPr>
          <w:p w:rsidRPr="00FC6EEE" w:rsidR="004B3FEB" w:rsidP="006E25D9" w:rsidRDefault="004B3FEB" w14:paraId="4D0C2FB8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5300" w:type="dxa"/>
            <w:vAlign w:val="center"/>
          </w:tcPr>
          <w:p w:rsidR="003334B0" w:rsidP="006E25D9" w:rsidRDefault="00484BB9" w14:paraId="161D76BE" w14:textId="361827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many FQHC networks were included in the </w:t>
            </w:r>
            <w:r w:rsidR="005A7552">
              <w:rPr>
                <w:b/>
                <w:bCs/>
              </w:rPr>
              <w:t>call down drill?</w:t>
            </w:r>
          </w:p>
        </w:tc>
        <w:tc>
          <w:tcPr>
            <w:tcW w:w="7020" w:type="dxa"/>
            <w:vAlign w:val="center"/>
          </w:tcPr>
          <w:p w:rsidR="004B3FEB" w:rsidP="006E25D9" w:rsidRDefault="004B3FEB" w14:paraId="678F9470" w14:textId="5C752BC8">
            <w:pPr>
              <w:rPr>
                <w:b/>
                <w:bCs/>
              </w:rPr>
            </w:pPr>
          </w:p>
        </w:tc>
      </w:tr>
      <w:tr w:rsidRPr="00CF0B0B" w:rsidR="004B3FEB" w:rsidTr="005A7552" w14:paraId="3443E0B3" w14:textId="77777777">
        <w:trPr>
          <w:trHeight w:val="151"/>
        </w:trPr>
        <w:tc>
          <w:tcPr>
            <w:tcW w:w="1345" w:type="dxa"/>
            <w:vMerge/>
            <w:shd w:val="clear" w:color="auto" w:fill="FFCC66"/>
          </w:tcPr>
          <w:p w:rsidRPr="00FC6EEE" w:rsidR="004B3FEB" w:rsidP="006E25D9" w:rsidRDefault="004B3FEB" w14:paraId="6C6EF7DF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5300" w:type="dxa"/>
            <w:vAlign w:val="center"/>
          </w:tcPr>
          <w:p w:rsidRPr="00CF0B0B" w:rsidR="003334B0" w:rsidP="006E25D9" w:rsidRDefault="008C1986" w14:paraId="255534E8" w14:textId="7EA922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many FQHC networks </w:t>
            </w:r>
            <w:r>
              <w:rPr>
                <w:b/>
                <w:bCs/>
              </w:rPr>
              <w:t>responded</w:t>
            </w:r>
            <w:r>
              <w:rPr>
                <w:b/>
                <w:bCs/>
              </w:rPr>
              <w:t>?</w:t>
            </w:r>
          </w:p>
        </w:tc>
        <w:tc>
          <w:tcPr>
            <w:tcW w:w="7020" w:type="dxa"/>
            <w:vAlign w:val="center"/>
          </w:tcPr>
          <w:p w:rsidRPr="00CF0B0B" w:rsidR="004B3FEB" w:rsidP="006E25D9" w:rsidRDefault="004B3FEB" w14:paraId="782811E8" w14:textId="2C571F36">
            <w:pPr>
              <w:rPr>
                <w:b/>
                <w:bCs/>
              </w:rPr>
            </w:pPr>
          </w:p>
        </w:tc>
      </w:tr>
      <w:tr w:rsidRPr="00CF0B0B" w:rsidR="00876457" w:rsidTr="005A7552" w14:paraId="30F68091" w14:textId="77777777">
        <w:trPr>
          <w:trHeight w:val="151"/>
        </w:trPr>
        <w:tc>
          <w:tcPr>
            <w:tcW w:w="1345" w:type="dxa"/>
            <w:vMerge/>
            <w:shd w:val="clear" w:color="auto" w:fill="FFCC66"/>
          </w:tcPr>
          <w:p w:rsidRPr="00FC6EEE" w:rsidR="00876457" w:rsidP="006E25D9" w:rsidRDefault="00876457" w14:paraId="60608F55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5300" w:type="dxa"/>
            <w:vAlign w:val="center"/>
          </w:tcPr>
          <w:p w:rsidR="00876457" w:rsidP="00876457" w:rsidRDefault="00876457" w14:paraId="73679494" w14:textId="1EE429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Participation rate:</w:t>
            </w:r>
          </w:p>
        </w:tc>
        <w:tc>
          <w:tcPr>
            <w:tcW w:w="7020" w:type="dxa"/>
            <w:vAlign w:val="center"/>
          </w:tcPr>
          <w:p w:rsidRPr="00CF0B0B" w:rsidR="00876457" w:rsidP="006E25D9" w:rsidRDefault="00876457" w14:paraId="67BBF6C3" w14:textId="77777777">
            <w:pPr>
              <w:rPr>
                <w:b/>
                <w:bCs/>
              </w:rPr>
            </w:pPr>
          </w:p>
        </w:tc>
      </w:tr>
      <w:tr w:rsidRPr="00CF0B0B" w:rsidR="00217047" w:rsidTr="005A7552" w14:paraId="7B8C76D3" w14:textId="77777777">
        <w:trPr>
          <w:trHeight w:val="151"/>
        </w:trPr>
        <w:tc>
          <w:tcPr>
            <w:tcW w:w="1345" w:type="dxa"/>
            <w:vMerge/>
            <w:shd w:val="clear" w:color="auto" w:fill="FFCC66"/>
          </w:tcPr>
          <w:p w:rsidRPr="00FC6EEE" w:rsidR="00217047" w:rsidP="006E25D9" w:rsidRDefault="00217047" w14:paraId="49517FA4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5300" w:type="dxa"/>
            <w:vAlign w:val="center"/>
          </w:tcPr>
          <w:p w:rsidR="00217047" w:rsidP="00EA02BB" w:rsidRDefault="00EA02BB" w14:paraId="569A9C1B" w14:textId="7CECD6B9">
            <w:pPr>
              <w:rPr>
                <w:b/>
                <w:bCs/>
              </w:rPr>
            </w:pPr>
            <w:r>
              <w:rPr>
                <w:b/>
                <w:bCs/>
              </w:rPr>
              <w:t>How does this participation rate compare to your most recent previous call down drill?</w:t>
            </w:r>
          </w:p>
        </w:tc>
        <w:tc>
          <w:tcPr>
            <w:tcW w:w="7020" w:type="dxa"/>
            <w:vAlign w:val="center"/>
          </w:tcPr>
          <w:p w:rsidRPr="00CF0B0B" w:rsidR="00217047" w:rsidP="006E25D9" w:rsidRDefault="00217047" w14:paraId="0463965F" w14:textId="77777777">
            <w:pPr>
              <w:rPr>
                <w:b/>
                <w:bCs/>
              </w:rPr>
            </w:pPr>
          </w:p>
        </w:tc>
      </w:tr>
      <w:tr w:rsidRPr="00CF0B0B" w:rsidR="00AB7AA5" w:rsidTr="004E75D5" w14:paraId="5D420D6E" w14:textId="77777777">
        <w:trPr>
          <w:trHeight w:val="1611"/>
        </w:trPr>
        <w:tc>
          <w:tcPr>
            <w:tcW w:w="1345" w:type="dxa"/>
            <w:vMerge/>
            <w:shd w:val="clear" w:color="auto" w:fill="FFCC66"/>
          </w:tcPr>
          <w:p w:rsidRPr="00FC6EEE" w:rsidR="00AB7AA5" w:rsidP="006E25D9" w:rsidRDefault="00AB7AA5" w14:paraId="4BE4416E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5300" w:type="dxa"/>
          </w:tcPr>
          <w:p w:rsidR="0098156D" w:rsidP="004E75D5" w:rsidRDefault="00C16D02" w14:paraId="0594673A" w14:textId="05A04B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Describe the interactive component </w:t>
            </w:r>
            <w:r w:rsidR="0095332B">
              <w:rPr>
                <w:b/>
                <w:bCs/>
              </w:rPr>
              <w:t>of this drill by describe what you asked of FQHC networks. Also describe what you learned from this interactive component.</w:t>
            </w:r>
          </w:p>
          <w:p w:rsidRPr="00CF0B0B" w:rsidR="003334B0" w:rsidP="004E75D5" w:rsidRDefault="003334B0" w14:paraId="0EAF02D7" w14:textId="570357FE">
            <w:pPr>
              <w:rPr>
                <w:b/>
                <w:bCs/>
              </w:rPr>
            </w:pPr>
          </w:p>
        </w:tc>
        <w:tc>
          <w:tcPr>
            <w:tcW w:w="7020" w:type="dxa"/>
            <w:vAlign w:val="center"/>
          </w:tcPr>
          <w:p w:rsidRPr="00CF0B0B" w:rsidR="00AB7AA5" w:rsidP="006E25D9" w:rsidRDefault="00AB7AA5" w14:paraId="6B0C9877" w14:textId="77777777">
            <w:pPr>
              <w:rPr>
                <w:b/>
                <w:bCs/>
              </w:rPr>
            </w:pPr>
          </w:p>
        </w:tc>
      </w:tr>
    </w:tbl>
    <w:p w:rsidR="003334B0" w:rsidRDefault="003334B0" w14:paraId="6A5CCFA6" w14:textId="6B36667A"/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345"/>
        <w:gridCol w:w="5300"/>
        <w:gridCol w:w="7020"/>
      </w:tblGrid>
      <w:tr w:rsidRPr="00CF0B0B" w:rsidR="00704100" w:rsidTr="63A25234" w14:paraId="487953FF" w14:textId="77777777">
        <w:trPr>
          <w:trHeight w:val="97"/>
        </w:trPr>
        <w:tc>
          <w:tcPr>
            <w:tcW w:w="1345" w:type="dxa"/>
            <w:vMerge w:val="restart"/>
            <w:shd w:val="clear" w:color="auto" w:fill="009900"/>
            <w:tcMar/>
            <w:vAlign w:val="center"/>
          </w:tcPr>
          <w:p w:rsidRPr="00FC6EEE" w:rsidR="00704100" w:rsidP="000D345B" w:rsidRDefault="00704100" w14:paraId="328F25B9" w14:textId="5865C50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4</w:t>
            </w:r>
          </w:p>
        </w:tc>
        <w:tc>
          <w:tcPr>
            <w:tcW w:w="12320" w:type="dxa"/>
            <w:gridSpan w:val="2"/>
            <w:tcMar/>
            <w:vAlign w:val="center"/>
          </w:tcPr>
          <w:p w:rsidR="00704100" w:rsidP="000D345B" w:rsidRDefault="00704100" w14:paraId="38A6FC08" w14:textId="2C550440">
            <w:pPr>
              <w:rPr>
                <w:b/>
                <w:bCs/>
              </w:rPr>
            </w:pPr>
            <w:r>
              <w:rPr>
                <w:b/>
                <w:bCs/>
              </w:rPr>
              <w:t>SUMMARY REPORT (</w:t>
            </w:r>
            <w:r w:rsidR="00B5285D">
              <w:rPr>
                <w:b/>
                <w:bCs/>
              </w:rPr>
              <w:t>Second</w:t>
            </w:r>
            <w:r>
              <w:rPr>
                <w:b/>
                <w:bCs/>
              </w:rPr>
              <w:t xml:space="preserve"> call down drill) | DUE DATE: </w:t>
            </w:r>
            <w:r w:rsidR="00B5285D">
              <w:rPr>
                <w:b/>
                <w:bCs/>
              </w:rPr>
              <w:t>June 1</w:t>
            </w:r>
            <w:r>
              <w:rPr>
                <w:b/>
                <w:bCs/>
              </w:rPr>
              <w:t>, 2023</w:t>
            </w:r>
          </w:p>
          <w:p w:rsidRPr="00CF0B0B" w:rsidR="00704100" w:rsidP="000D345B" w:rsidRDefault="00704100" w14:paraId="791F7FDE" w14:textId="77777777">
            <w:pPr>
              <w:rPr>
                <w:b/>
                <w:bCs/>
              </w:rPr>
            </w:pPr>
          </w:p>
        </w:tc>
      </w:tr>
      <w:tr w:rsidRPr="00CF0B0B" w:rsidR="00704100" w:rsidTr="63A25234" w14:paraId="269A3D1D" w14:textId="77777777">
        <w:trPr>
          <w:trHeight w:val="96"/>
        </w:trPr>
        <w:tc>
          <w:tcPr>
            <w:tcW w:w="1345" w:type="dxa"/>
            <w:vMerge/>
            <w:tcMar/>
          </w:tcPr>
          <w:p w:rsidRPr="00FC6EEE" w:rsidR="00704100" w:rsidP="000D345B" w:rsidRDefault="00704100" w14:paraId="71982A49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5300" w:type="dxa"/>
            <w:tcMar/>
            <w:vAlign w:val="center"/>
          </w:tcPr>
          <w:p w:rsidR="00704100" w:rsidP="000D345B" w:rsidRDefault="00704100" w14:paraId="759B2BC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7020" w:type="dxa"/>
            <w:tcMar/>
            <w:vAlign w:val="center"/>
          </w:tcPr>
          <w:p w:rsidR="00704100" w:rsidP="000D345B" w:rsidRDefault="00704100" w14:paraId="5CEA610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Response (Sections below will expand as you type.)</w:t>
            </w:r>
          </w:p>
        </w:tc>
      </w:tr>
      <w:tr w:rsidRPr="00CF0B0B" w:rsidR="00704100" w:rsidTr="63A25234" w14:paraId="6831DB21" w14:textId="77777777">
        <w:trPr>
          <w:trHeight w:val="96"/>
        </w:trPr>
        <w:tc>
          <w:tcPr>
            <w:tcW w:w="1345" w:type="dxa"/>
            <w:vMerge/>
            <w:tcMar/>
          </w:tcPr>
          <w:p w:rsidRPr="00FC6EEE" w:rsidR="00704100" w:rsidP="000D345B" w:rsidRDefault="00704100" w14:paraId="06275203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5300" w:type="dxa"/>
            <w:tcMar/>
            <w:vAlign w:val="center"/>
          </w:tcPr>
          <w:p w:rsidR="00704100" w:rsidP="000D345B" w:rsidRDefault="00704100" w14:paraId="2D81F3B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Date of the call down drill.</w:t>
            </w:r>
          </w:p>
        </w:tc>
        <w:tc>
          <w:tcPr>
            <w:tcW w:w="7020" w:type="dxa"/>
            <w:tcMar/>
            <w:vAlign w:val="center"/>
          </w:tcPr>
          <w:p w:rsidR="00704100" w:rsidP="000D345B" w:rsidRDefault="00704100" w14:paraId="6D6F76EA" w14:textId="77777777">
            <w:pPr>
              <w:rPr>
                <w:b/>
                <w:bCs/>
              </w:rPr>
            </w:pPr>
          </w:p>
        </w:tc>
      </w:tr>
      <w:tr w:rsidRPr="00CF0B0B" w:rsidR="00704100" w:rsidTr="63A25234" w14:paraId="6D022D18" w14:textId="77777777">
        <w:trPr>
          <w:trHeight w:val="96"/>
        </w:trPr>
        <w:tc>
          <w:tcPr>
            <w:tcW w:w="1345" w:type="dxa"/>
            <w:vMerge/>
            <w:tcMar/>
          </w:tcPr>
          <w:p w:rsidRPr="00FC6EEE" w:rsidR="00704100" w:rsidP="000D345B" w:rsidRDefault="00704100" w14:paraId="5BB05F06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5300" w:type="dxa"/>
            <w:tcMar/>
            <w:vAlign w:val="center"/>
          </w:tcPr>
          <w:p w:rsidR="00704100" w:rsidP="000D345B" w:rsidRDefault="00704100" w14:paraId="183A417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How long did those called have to respond?</w:t>
            </w:r>
          </w:p>
        </w:tc>
        <w:tc>
          <w:tcPr>
            <w:tcW w:w="7020" w:type="dxa"/>
            <w:tcMar/>
            <w:vAlign w:val="center"/>
          </w:tcPr>
          <w:p w:rsidR="00704100" w:rsidP="000D345B" w:rsidRDefault="00704100" w14:paraId="0DED8B35" w14:textId="77777777">
            <w:pPr>
              <w:rPr>
                <w:b/>
                <w:bCs/>
              </w:rPr>
            </w:pPr>
          </w:p>
        </w:tc>
      </w:tr>
      <w:tr w:rsidRPr="00CF0B0B" w:rsidR="00704100" w:rsidTr="63A25234" w14:paraId="03234A63" w14:textId="77777777">
        <w:trPr>
          <w:trHeight w:val="96"/>
        </w:trPr>
        <w:tc>
          <w:tcPr>
            <w:tcW w:w="1345" w:type="dxa"/>
            <w:vMerge/>
            <w:tcMar/>
          </w:tcPr>
          <w:p w:rsidRPr="00FC6EEE" w:rsidR="00704100" w:rsidP="000D345B" w:rsidRDefault="00704100" w14:paraId="0788DE72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5300" w:type="dxa"/>
            <w:tcMar/>
            <w:vAlign w:val="center"/>
          </w:tcPr>
          <w:p w:rsidR="00704100" w:rsidP="000D345B" w:rsidRDefault="00704100" w14:paraId="28CA5E1C" w14:textId="0353D738">
            <w:pPr>
              <w:rPr>
                <w:b w:val="1"/>
                <w:bCs w:val="1"/>
              </w:rPr>
            </w:pPr>
            <w:r w:rsidRPr="63A25234" w:rsidR="00704100">
              <w:rPr>
                <w:b w:val="1"/>
                <w:bCs w:val="1"/>
              </w:rPr>
              <w:t>Method used to conduct the drill (VEOCI</w:t>
            </w:r>
            <w:r w:rsidRPr="63A25234" w:rsidR="00704100">
              <w:rPr>
                <w:b w:val="1"/>
                <w:bCs w:val="1"/>
              </w:rPr>
              <w:t xml:space="preserve"> etc.). If more than one method was used, please describe.</w:t>
            </w:r>
          </w:p>
        </w:tc>
        <w:tc>
          <w:tcPr>
            <w:tcW w:w="7020" w:type="dxa"/>
            <w:tcMar/>
            <w:vAlign w:val="center"/>
          </w:tcPr>
          <w:p w:rsidR="00704100" w:rsidP="000D345B" w:rsidRDefault="00704100" w14:paraId="76890F77" w14:textId="77777777">
            <w:pPr>
              <w:rPr>
                <w:b/>
                <w:bCs/>
              </w:rPr>
            </w:pPr>
          </w:p>
        </w:tc>
      </w:tr>
      <w:tr w:rsidRPr="00CF0B0B" w:rsidR="00704100" w:rsidTr="63A25234" w14:paraId="42BEA249" w14:textId="77777777">
        <w:trPr>
          <w:trHeight w:val="96"/>
        </w:trPr>
        <w:tc>
          <w:tcPr>
            <w:tcW w:w="1345" w:type="dxa"/>
            <w:vMerge/>
            <w:tcMar/>
          </w:tcPr>
          <w:p w:rsidRPr="00FC6EEE" w:rsidR="00704100" w:rsidP="000D345B" w:rsidRDefault="00704100" w14:paraId="7BE958B5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5300" w:type="dxa"/>
            <w:tcMar/>
            <w:vAlign w:val="center"/>
          </w:tcPr>
          <w:p w:rsidR="00704100" w:rsidP="000D345B" w:rsidRDefault="00704100" w14:paraId="41FD000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How many FQHC networks were included in the call down drill?</w:t>
            </w:r>
          </w:p>
        </w:tc>
        <w:tc>
          <w:tcPr>
            <w:tcW w:w="7020" w:type="dxa"/>
            <w:tcMar/>
            <w:vAlign w:val="center"/>
          </w:tcPr>
          <w:p w:rsidR="00704100" w:rsidP="000D345B" w:rsidRDefault="00704100" w14:paraId="21F80403" w14:textId="77777777">
            <w:pPr>
              <w:rPr>
                <w:b/>
                <w:bCs/>
              </w:rPr>
            </w:pPr>
          </w:p>
        </w:tc>
      </w:tr>
      <w:tr w:rsidRPr="00CF0B0B" w:rsidR="00704100" w:rsidTr="63A25234" w14:paraId="2B777D29" w14:textId="77777777">
        <w:trPr>
          <w:trHeight w:val="151"/>
        </w:trPr>
        <w:tc>
          <w:tcPr>
            <w:tcW w:w="1345" w:type="dxa"/>
            <w:vMerge/>
            <w:tcMar/>
          </w:tcPr>
          <w:p w:rsidRPr="00FC6EEE" w:rsidR="00704100" w:rsidP="000D345B" w:rsidRDefault="00704100" w14:paraId="26649107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5300" w:type="dxa"/>
            <w:tcMar/>
            <w:vAlign w:val="center"/>
          </w:tcPr>
          <w:p w:rsidRPr="00CF0B0B" w:rsidR="00704100" w:rsidP="000D345B" w:rsidRDefault="00704100" w14:paraId="7B1C907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How many FQHC networks responded?</w:t>
            </w:r>
          </w:p>
        </w:tc>
        <w:tc>
          <w:tcPr>
            <w:tcW w:w="7020" w:type="dxa"/>
            <w:tcMar/>
            <w:vAlign w:val="center"/>
          </w:tcPr>
          <w:p w:rsidRPr="00CF0B0B" w:rsidR="00704100" w:rsidP="000D345B" w:rsidRDefault="00704100" w14:paraId="11DECD52" w14:textId="77777777">
            <w:pPr>
              <w:rPr>
                <w:b/>
                <w:bCs/>
              </w:rPr>
            </w:pPr>
          </w:p>
        </w:tc>
      </w:tr>
      <w:tr w:rsidRPr="00CF0B0B" w:rsidR="00704100" w:rsidTr="63A25234" w14:paraId="59BE9E29" w14:textId="77777777">
        <w:trPr>
          <w:trHeight w:val="151"/>
        </w:trPr>
        <w:tc>
          <w:tcPr>
            <w:tcW w:w="1345" w:type="dxa"/>
            <w:vMerge/>
            <w:tcMar/>
          </w:tcPr>
          <w:p w:rsidRPr="00FC6EEE" w:rsidR="00704100" w:rsidP="000D345B" w:rsidRDefault="00704100" w14:paraId="2209547B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5300" w:type="dxa"/>
            <w:tcMar/>
            <w:vAlign w:val="center"/>
          </w:tcPr>
          <w:p w:rsidR="00704100" w:rsidP="000D345B" w:rsidRDefault="00704100" w14:paraId="5AFAAA34" w14:textId="777777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Participation rate:</w:t>
            </w:r>
          </w:p>
        </w:tc>
        <w:tc>
          <w:tcPr>
            <w:tcW w:w="7020" w:type="dxa"/>
            <w:tcMar/>
            <w:vAlign w:val="center"/>
          </w:tcPr>
          <w:p w:rsidRPr="00CF0B0B" w:rsidR="00704100" w:rsidP="000D345B" w:rsidRDefault="00704100" w14:paraId="5D607D95" w14:textId="77777777">
            <w:pPr>
              <w:rPr>
                <w:b/>
                <w:bCs/>
              </w:rPr>
            </w:pPr>
          </w:p>
        </w:tc>
      </w:tr>
      <w:tr w:rsidRPr="00CF0B0B" w:rsidR="00704100" w:rsidTr="63A25234" w14:paraId="2AFC260E" w14:textId="77777777">
        <w:trPr>
          <w:trHeight w:val="151"/>
        </w:trPr>
        <w:tc>
          <w:tcPr>
            <w:tcW w:w="1345" w:type="dxa"/>
            <w:vMerge/>
            <w:tcMar/>
          </w:tcPr>
          <w:p w:rsidRPr="00FC6EEE" w:rsidR="00704100" w:rsidP="000D345B" w:rsidRDefault="00704100" w14:paraId="00C66D5B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5300" w:type="dxa"/>
            <w:tcMar/>
            <w:vAlign w:val="center"/>
          </w:tcPr>
          <w:p w:rsidR="00704100" w:rsidP="000D345B" w:rsidRDefault="00704100" w14:paraId="575DE31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How does this participation rate compare to your most recent previous call down drill?</w:t>
            </w:r>
          </w:p>
        </w:tc>
        <w:tc>
          <w:tcPr>
            <w:tcW w:w="7020" w:type="dxa"/>
            <w:tcMar/>
            <w:vAlign w:val="center"/>
          </w:tcPr>
          <w:p w:rsidRPr="00CF0B0B" w:rsidR="00704100" w:rsidP="000D345B" w:rsidRDefault="00704100" w14:paraId="47DE01E9" w14:textId="77777777">
            <w:pPr>
              <w:rPr>
                <w:b/>
                <w:bCs/>
              </w:rPr>
            </w:pPr>
          </w:p>
        </w:tc>
      </w:tr>
      <w:tr w:rsidRPr="00CF0B0B" w:rsidR="00704100" w:rsidTr="63A25234" w14:paraId="5003F618" w14:textId="77777777">
        <w:trPr>
          <w:trHeight w:val="1611"/>
        </w:trPr>
        <w:tc>
          <w:tcPr>
            <w:tcW w:w="1345" w:type="dxa"/>
            <w:vMerge/>
            <w:tcMar/>
          </w:tcPr>
          <w:p w:rsidRPr="00FC6EEE" w:rsidR="00704100" w:rsidP="000D345B" w:rsidRDefault="00704100" w14:paraId="264CBBD5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5300" w:type="dxa"/>
            <w:tcMar/>
          </w:tcPr>
          <w:p w:rsidR="00704100" w:rsidP="000D345B" w:rsidRDefault="00704100" w14:paraId="68CE9E9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Describe the interactive component of this drill by describe what you asked of FQHC networks. Also describe what you learned from this interactive component.</w:t>
            </w:r>
          </w:p>
          <w:p w:rsidRPr="00CF0B0B" w:rsidR="00704100" w:rsidP="000D345B" w:rsidRDefault="00704100" w14:paraId="59A5DF64" w14:textId="77777777">
            <w:pPr>
              <w:rPr>
                <w:b/>
                <w:bCs/>
              </w:rPr>
            </w:pPr>
          </w:p>
        </w:tc>
        <w:tc>
          <w:tcPr>
            <w:tcW w:w="7020" w:type="dxa"/>
            <w:tcMar/>
            <w:vAlign w:val="center"/>
          </w:tcPr>
          <w:p w:rsidRPr="00CF0B0B" w:rsidR="00704100" w:rsidP="000D345B" w:rsidRDefault="00704100" w14:paraId="4B77DA71" w14:textId="77777777">
            <w:pPr>
              <w:rPr>
                <w:b/>
                <w:bCs/>
              </w:rPr>
            </w:pPr>
          </w:p>
        </w:tc>
      </w:tr>
    </w:tbl>
    <w:p w:rsidR="00704100" w:rsidRDefault="00704100" w14:paraId="392A9B28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Pr="00CF0B0B" w:rsidR="004B3FEB" w:rsidTr="00092408" w14:paraId="0455B589" w14:textId="77777777">
        <w:tc>
          <w:tcPr>
            <w:tcW w:w="134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6600"/>
            <w:vAlign w:val="center"/>
          </w:tcPr>
          <w:p w:rsidRPr="00FC6EEE" w:rsidR="004B3FEB" w:rsidP="004B3FEB" w:rsidRDefault="004B3FEB" w14:paraId="16A4A22D" w14:textId="5500FD15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5</w:t>
            </w:r>
          </w:p>
        </w:tc>
        <w:tc>
          <w:tcPr>
            <w:tcW w:w="12325" w:type="dxa"/>
            <w:tcBorders>
              <w:left w:val="single" w:color="auto" w:sz="12" w:space="0"/>
            </w:tcBorders>
            <w:vAlign w:val="center"/>
          </w:tcPr>
          <w:p w:rsidR="004B3FEB" w:rsidP="006E25D9" w:rsidRDefault="00B579B9" w14:paraId="44EE483A" w14:textId="443C7F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 </w:t>
            </w:r>
            <w:r w:rsidRPr="00CF0B0B">
              <w:rPr>
                <w:b/>
                <w:bCs/>
              </w:rPr>
              <w:t>additional documentation required</w:t>
            </w:r>
          </w:p>
        </w:tc>
      </w:tr>
      <w:tr w:rsidRPr="00CF0B0B" w:rsidR="004B3FEB" w:rsidTr="00092408" w14:paraId="674DC0B0" w14:textId="77777777">
        <w:tc>
          <w:tcPr>
            <w:tcW w:w="1345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6600"/>
            <w:vAlign w:val="center"/>
          </w:tcPr>
          <w:p w:rsidRPr="00FC6EEE" w:rsidR="004B3FEB" w:rsidP="004B3FEB" w:rsidRDefault="004B3FEB" w14:paraId="25C83E51" w14:textId="2C72166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12325" w:type="dxa"/>
            <w:tcBorders>
              <w:left w:val="single" w:color="auto" w:sz="12" w:space="0"/>
            </w:tcBorders>
            <w:vAlign w:val="center"/>
          </w:tcPr>
          <w:p w:rsidRPr="00CF0B0B" w:rsidR="004B3FEB" w:rsidP="006E25D9" w:rsidRDefault="004B3FEB" w14:paraId="0E0B6C7D" w14:textId="5BCB8F17">
            <w:pPr>
              <w:rPr>
                <w:b/>
                <w:bCs/>
              </w:rPr>
            </w:pPr>
          </w:p>
        </w:tc>
      </w:tr>
    </w:tbl>
    <w:p w:rsidR="00CF0B0B" w:rsidP="00C74693" w:rsidRDefault="00CF0B0B" w14:paraId="2C86DFF1" w14:textId="77777777"/>
    <w:sectPr w:rsidR="00CF0B0B" w:rsidSect="0060111F">
      <w:footerReference w:type="default" r:id="rId12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14BC" w:rsidP="004B3FEB" w:rsidRDefault="000A14BC" w14:paraId="6171DEB5" w14:textId="77777777">
      <w:pPr>
        <w:spacing w:after="0" w:line="240" w:lineRule="auto"/>
      </w:pPr>
      <w:r>
        <w:separator/>
      </w:r>
    </w:p>
  </w:endnote>
  <w:endnote w:type="continuationSeparator" w:id="0">
    <w:p w:rsidR="000A14BC" w:rsidP="004B3FEB" w:rsidRDefault="000A14BC" w14:paraId="1E2B6D8A" w14:textId="77777777">
      <w:pPr>
        <w:spacing w:after="0" w:line="240" w:lineRule="auto"/>
      </w:pPr>
      <w:r>
        <w:continuationSeparator/>
      </w:r>
    </w:p>
  </w:endnote>
  <w:endnote w:type="continuationNotice" w:id="1">
    <w:p w:rsidR="000A14BC" w:rsidRDefault="000A14BC" w14:paraId="7D9AE01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3FEB" w:rsidRDefault="004B3FEB" w14:paraId="202D9FD1" w14:textId="166EA4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3FEB" w:rsidRDefault="004B3FEB" w14:paraId="67E6D50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14BC" w:rsidP="004B3FEB" w:rsidRDefault="000A14BC" w14:paraId="37CAC807" w14:textId="77777777">
      <w:pPr>
        <w:spacing w:after="0" w:line="240" w:lineRule="auto"/>
      </w:pPr>
      <w:r>
        <w:separator/>
      </w:r>
    </w:p>
  </w:footnote>
  <w:footnote w:type="continuationSeparator" w:id="0">
    <w:p w:rsidR="000A14BC" w:rsidP="004B3FEB" w:rsidRDefault="000A14BC" w14:paraId="38A7343E" w14:textId="77777777">
      <w:pPr>
        <w:spacing w:after="0" w:line="240" w:lineRule="auto"/>
      </w:pPr>
      <w:r>
        <w:continuationSeparator/>
      </w:r>
    </w:p>
  </w:footnote>
  <w:footnote w:type="continuationNotice" w:id="1">
    <w:p w:rsidR="000A14BC" w:rsidRDefault="000A14BC" w14:paraId="747A25D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892536"/>
    <w:multiLevelType w:val="hybridMultilevel"/>
    <w:tmpl w:val="2CF0665E"/>
    <w:lvl w:ilvl="0" w:tplc="E43A4AF6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320CF"/>
    <w:rsid w:val="00092408"/>
    <w:rsid w:val="000A14BC"/>
    <w:rsid w:val="000A1F9E"/>
    <w:rsid w:val="00145B21"/>
    <w:rsid w:val="00190909"/>
    <w:rsid w:val="001A0B83"/>
    <w:rsid w:val="001B7AF7"/>
    <w:rsid w:val="001C7E5F"/>
    <w:rsid w:val="001D11F6"/>
    <w:rsid w:val="001D4ED0"/>
    <w:rsid w:val="001F24FE"/>
    <w:rsid w:val="00211B6E"/>
    <w:rsid w:val="00216239"/>
    <w:rsid w:val="00217047"/>
    <w:rsid w:val="00271640"/>
    <w:rsid w:val="00294C5A"/>
    <w:rsid w:val="002B7A3A"/>
    <w:rsid w:val="002C1DA3"/>
    <w:rsid w:val="002E7C36"/>
    <w:rsid w:val="003334B0"/>
    <w:rsid w:val="00345878"/>
    <w:rsid w:val="00365E05"/>
    <w:rsid w:val="003E5F9C"/>
    <w:rsid w:val="00484BB9"/>
    <w:rsid w:val="004B3FEB"/>
    <w:rsid w:val="004E034C"/>
    <w:rsid w:val="004E75D5"/>
    <w:rsid w:val="00556754"/>
    <w:rsid w:val="0057064E"/>
    <w:rsid w:val="00585AD3"/>
    <w:rsid w:val="005A7552"/>
    <w:rsid w:val="005C6F04"/>
    <w:rsid w:val="005D0D9F"/>
    <w:rsid w:val="005D0E17"/>
    <w:rsid w:val="005D629B"/>
    <w:rsid w:val="0060111F"/>
    <w:rsid w:val="006B5388"/>
    <w:rsid w:val="006D5770"/>
    <w:rsid w:val="006E4A4C"/>
    <w:rsid w:val="006E5792"/>
    <w:rsid w:val="00704100"/>
    <w:rsid w:val="00722302"/>
    <w:rsid w:val="007571DE"/>
    <w:rsid w:val="007C12EA"/>
    <w:rsid w:val="00830D8E"/>
    <w:rsid w:val="0087600B"/>
    <w:rsid w:val="00876457"/>
    <w:rsid w:val="00887555"/>
    <w:rsid w:val="008B233C"/>
    <w:rsid w:val="008C1986"/>
    <w:rsid w:val="008D1D6B"/>
    <w:rsid w:val="008F7E6B"/>
    <w:rsid w:val="00905B06"/>
    <w:rsid w:val="00911BE2"/>
    <w:rsid w:val="0095332B"/>
    <w:rsid w:val="00960868"/>
    <w:rsid w:val="0098156D"/>
    <w:rsid w:val="00997939"/>
    <w:rsid w:val="00A27A15"/>
    <w:rsid w:val="00A31240"/>
    <w:rsid w:val="00A37031"/>
    <w:rsid w:val="00A44FAC"/>
    <w:rsid w:val="00A520B8"/>
    <w:rsid w:val="00A652B6"/>
    <w:rsid w:val="00A92DD1"/>
    <w:rsid w:val="00AB7AA5"/>
    <w:rsid w:val="00AC0496"/>
    <w:rsid w:val="00B25C60"/>
    <w:rsid w:val="00B5285D"/>
    <w:rsid w:val="00B579B9"/>
    <w:rsid w:val="00BC35FB"/>
    <w:rsid w:val="00BC72B3"/>
    <w:rsid w:val="00BE0EBD"/>
    <w:rsid w:val="00BF6D40"/>
    <w:rsid w:val="00C020E5"/>
    <w:rsid w:val="00C16D02"/>
    <w:rsid w:val="00C74693"/>
    <w:rsid w:val="00C81571"/>
    <w:rsid w:val="00C91517"/>
    <w:rsid w:val="00CA4592"/>
    <w:rsid w:val="00CF0B0B"/>
    <w:rsid w:val="00CF2071"/>
    <w:rsid w:val="00D5067C"/>
    <w:rsid w:val="00D96DEC"/>
    <w:rsid w:val="00DA414A"/>
    <w:rsid w:val="00DD506A"/>
    <w:rsid w:val="00DD6F88"/>
    <w:rsid w:val="00E73155"/>
    <w:rsid w:val="00EA02BB"/>
    <w:rsid w:val="00EE366E"/>
    <w:rsid w:val="00F000D9"/>
    <w:rsid w:val="00F44BE0"/>
    <w:rsid w:val="00F63FBC"/>
    <w:rsid w:val="00FC6EEE"/>
    <w:rsid w:val="02F52908"/>
    <w:rsid w:val="06E87877"/>
    <w:rsid w:val="0AB1D0DD"/>
    <w:rsid w:val="0E472360"/>
    <w:rsid w:val="1822EB96"/>
    <w:rsid w:val="184F762D"/>
    <w:rsid w:val="1B4163FB"/>
    <w:rsid w:val="20148A0E"/>
    <w:rsid w:val="23FC70D4"/>
    <w:rsid w:val="25A72344"/>
    <w:rsid w:val="2B5D7ED3"/>
    <w:rsid w:val="2F81AD5D"/>
    <w:rsid w:val="34ECE6B5"/>
    <w:rsid w:val="356A336A"/>
    <w:rsid w:val="36F4CCE8"/>
    <w:rsid w:val="37137F2B"/>
    <w:rsid w:val="44C9696C"/>
    <w:rsid w:val="458D73AD"/>
    <w:rsid w:val="49E85F55"/>
    <w:rsid w:val="4D0F2B8B"/>
    <w:rsid w:val="4DCE7B71"/>
    <w:rsid w:val="4F4445F4"/>
    <w:rsid w:val="54610C39"/>
    <w:rsid w:val="5C803B66"/>
    <w:rsid w:val="5C840323"/>
    <w:rsid w:val="63A25234"/>
    <w:rsid w:val="67ADF30F"/>
    <w:rsid w:val="685CB8E3"/>
    <w:rsid w:val="6BE04B4D"/>
    <w:rsid w:val="6D30F984"/>
    <w:rsid w:val="6FC7E703"/>
    <w:rsid w:val="707850FE"/>
    <w:rsid w:val="7163B764"/>
    <w:rsid w:val="72849E91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7A01"/>
  <w15:chartTrackingRefBased/>
  <w15:docId w15:val="{7AA2E9BE-82B7-48DF-B1F5-0096BB11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4B3FE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585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tamburrino@health.nyc.gov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cfe7ebd073a048d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afc03-20c7-4ebb-8eaf-92f8fdf2449d}"/>
      </w:docPartPr>
      <w:docPartBody>
        <w:p w14:paraId="63A2523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42AFB73CCF043A8B3FB059FEF42F1" ma:contentTypeVersion="4" ma:contentTypeDescription="Create a new document." ma:contentTypeScope="" ma:versionID="a3cd39edff567b3ae33d20fb3e73db58">
  <xsd:schema xmlns:xsd="http://www.w3.org/2001/XMLSchema" xmlns:xs="http://www.w3.org/2001/XMLSchema" xmlns:p="http://schemas.microsoft.com/office/2006/metadata/properties" xmlns:ns2="3399f0fc-f665-4cbd-8de7-563786870900" xmlns:ns3="058f4e35-b3f2-4a2f-8a15-5de3cd9cafbb" targetNamespace="http://schemas.microsoft.com/office/2006/metadata/properties" ma:root="true" ma:fieldsID="f079d6a744dcbf241978ae66f216bf48" ns2:_="" ns3:_="">
    <xsd:import namespace="3399f0fc-f665-4cbd-8de7-563786870900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0fc-f665-4cbd-8de7-563786870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611470-9B1F-4067-B206-C2486DE1F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0fc-f665-4cbd-8de7-563786870900"/>
    <ds:schemaRef ds:uri="058f4e35-b3f2-4a2f-8a15-5de3cd9c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Darrin Pruitt</dc:creator>
  <keywords/>
  <dc:description/>
  <lastModifiedBy>Marsha Williams</lastModifiedBy>
  <revision>35</revision>
  <dcterms:created xsi:type="dcterms:W3CDTF">2022-09-22T17:27:00.0000000Z</dcterms:created>
  <dcterms:modified xsi:type="dcterms:W3CDTF">2022-10-08T19:10:56.0665771Z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0x010100E1C42AFB73CCF043A8B3FB059FEF42F1</vt:lpwstr>
  </property>
</Properties>
</file>