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5986C01D" w:rsidR="6BE04B4D" w:rsidRPr="00127F48" w:rsidRDefault="6BE04B4D" w:rsidP="00127F48">
      <w:pPr>
        <w:pStyle w:val="Heading1"/>
        <w:jc w:val="center"/>
      </w:pPr>
      <w:r>
        <w:t>BP4 “</w:t>
      </w:r>
      <w:r w:rsidR="00557618">
        <w:t>Formalize Borough Coalition Communication</w:t>
      </w:r>
      <w:r w:rsidR="00127F48">
        <w:t xml:space="preserve"> </w:t>
      </w:r>
      <w:r w:rsidR="00557618">
        <w:t>Process</w:t>
      </w:r>
      <w:r>
        <w:t xml:space="preserve">” </w:t>
      </w:r>
      <w:r w:rsidR="00BF1B5D">
        <w:t>D</w:t>
      </w:r>
      <w:r>
        <w:t xml:space="preserve">eliverable </w:t>
      </w:r>
      <w:r w:rsidR="00BF1B5D">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0DA68B75" w:rsidR="00FC6EEE" w:rsidRDefault="00000EAB" w:rsidP="25A72344">
            <w:pPr>
              <w:spacing w:line="259" w:lineRule="auto"/>
            </w:pPr>
            <w:r>
              <w:t>Borough Coalition</w:t>
            </w:r>
            <w:r w:rsidR="00F000D9">
              <w:t xml:space="preserve"> sub-recipients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474E1EC4" w:rsidR="00FC6EEE" w:rsidRPr="00152E26" w:rsidRDefault="00152E26" w:rsidP="00152E26">
            <w:pPr>
              <w:textAlignment w:val="baseline"/>
              <w:rPr>
                <w:rFonts w:ascii="Calibri" w:eastAsia="Times New Roman" w:hAnsi="Calibri" w:cs="Calibri"/>
                <w:b/>
                <w:bCs/>
              </w:rPr>
            </w:pPr>
            <w:r w:rsidRPr="008911D3">
              <w:rPr>
                <w:rFonts w:ascii="Calibri" w:eastAsia="Times New Roman" w:hAnsi="Calibri" w:cs="Calibri"/>
                <w:b/>
                <w:bCs/>
              </w:rPr>
              <w:t>C2.1. Formalize Borough Coalition Communication</w:t>
            </w:r>
            <w:r>
              <w:rPr>
                <w:rFonts w:ascii="Calibri" w:eastAsia="Times New Roman" w:hAnsi="Calibri" w:cs="Calibri"/>
                <w:b/>
                <w:bCs/>
              </w:rPr>
              <w:t xml:space="preserve"> </w:t>
            </w:r>
            <w:r w:rsidRPr="008911D3">
              <w:rPr>
                <w:rFonts w:ascii="Calibri" w:eastAsia="Times New Roman" w:hAnsi="Calibri" w:cs="Calibri"/>
                <w:b/>
                <w:bCs/>
              </w:rPr>
              <w:t>Process</w:t>
            </w:r>
          </w:p>
        </w:tc>
      </w:tr>
    </w:tbl>
    <w:p w14:paraId="5AD2FABE" w14:textId="77777777" w:rsidR="00E57BD6" w:rsidRDefault="00E57BD6">
      <w:pPr>
        <w:rPr>
          <w:rStyle w:val="normaltextrun"/>
          <w:rFonts w:ascii="Calibri" w:hAnsi="Calibri" w:cs="Calibri"/>
          <w:b/>
          <w:bCs/>
          <w:color w:val="000000"/>
          <w:shd w:val="clear" w:color="auto" w:fill="FFFFFF"/>
        </w:rPr>
      </w:pPr>
    </w:p>
    <w:p w14:paraId="469869E0" w14:textId="564CC94A" w:rsidR="00E57BD6" w:rsidRDefault="00E57BD6">
      <w:r>
        <w:rPr>
          <w:rStyle w:val="normaltextrun"/>
          <w:rFonts w:ascii="Calibri" w:hAnsi="Calibri" w:cs="Calibri"/>
          <w:b/>
          <w:bCs/>
          <w:color w:val="000000"/>
          <w:shd w:val="clear" w:color="auto" w:fill="FFFFFF"/>
        </w:rPr>
        <w:t xml:space="preserve">Instructions: </w:t>
      </w:r>
      <w:r>
        <w:rPr>
          <w:rStyle w:val="normaltextrun"/>
          <w:rFonts w:ascii="Calibri" w:hAnsi="Calibri" w:cs="Calibri"/>
          <w:color w:val="000000"/>
          <w:shd w:val="clear" w:color="auto" w:fill="FFFFFF"/>
        </w:rPr>
        <w:t>Here are the steps to follow for completing this deliverable.</w:t>
      </w:r>
      <w:r>
        <w:rPr>
          <w:rStyle w:val="eop"/>
          <w:rFonts w:ascii="Calibri" w:hAnsi="Calibri" w:cs="Calibri"/>
          <w:color w:val="000000"/>
          <w:shd w:val="clear" w:color="auto" w:fill="FFFFFF"/>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FC6EEE"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25A0F5CB" w:rsidR="00FC6EEE" w:rsidRPr="00CF0B0B" w:rsidRDefault="006847A2" w:rsidP="00FC6EEE">
            <w:pPr>
              <w:rPr>
                <w:b/>
                <w:bCs/>
              </w:rPr>
            </w:pPr>
            <w:r>
              <w:rPr>
                <w:b/>
                <w:bCs/>
              </w:rPr>
              <w:t>S</w:t>
            </w:r>
            <w:r w:rsidR="003B48AA">
              <w:rPr>
                <w:b/>
                <w:bCs/>
              </w:rPr>
              <w:t>kip this step.</w:t>
            </w:r>
            <w:r w:rsidR="00BF1B5D">
              <w:rPr>
                <w:b/>
                <w:bCs/>
              </w:rPr>
              <w:t xml:space="preserve"> No proposal required for this deliverable.</w:t>
            </w:r>
          </w:p>
        </w:tc>
      </w:tr>
      <w:tr w:rsidR="00FC6EEE"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67E0E165" w:rsidR="00FC6EEE" w:rsidRPr="00CF0B0B" w:rsidRDefault="00CF0B0B" w:rsidP="00FC6EEE">
            <w:pPr>
              <w:rPr>
                <w:b/>
                <w:bCs/>
              </w:rPr>
            </w:pPr>
            <w:r w:rsidRPr="00CF0B0B">
              <w:rPr>
                <w:b/>
                <w:bCs/>
              </w:rPr>
              <w:t>Complete the fields for the deliverable final report (if provided below).</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5B848A3E" w:rsidR="00FC6EEE" w:rsidRPr="00CF0B0B" w:rsidRDefault="00A92DD1" w:rsidP="00FC6EEE">
            <w:pPr>
              <w:rPr>
                <w:b/>
                <w:bCs/>
              </w:rPr>
            </w:pPr>
            <w:r>
              <w:rPr>
                <w:b/>
                <w:bCs/>
              </w:rPr>
              <w:t>If provided below, s</w:t>
            </w:r>
            <w:r w:rsidR="00CF0B0B" w:rsidRPr="00CF0B0B">
              <w:rPr>
                <w:b/>
                <w:bCs/>
              </w:rPr>
              <w:t xml:space="preserve">ubmit any additional documentation required to your DOHMH Program </w:t>
            </w:r>
            <w:r w:rsidR="0A05D5AC" w:rsidRPr="18C67BD5">
              <w:rPr>
                <w:b/>
                <w:bCs/>
              </w:rPr>
              <w:t>M</w:t>
            </w:r>
            <w:r w:rsidR="00CF0B0B" w:rsidRPr="18C67BD5">
              <w:rPr>
                <w:b/>
                <w:bCs/>
              </w:rPr>
              <w:t>anager.</w:t>
            </w:r>
            <w:r w:rsidR="00CF0B0B" w:rsidRPr="00CF0B0B">
              <w:rPr>
                <w:b/>
                <w:bCs/>
              </w:rPr>
              <w:t xml:space="preserve"> This is noted in the deliverable text</w:t>
            </w:r>
            <w:r>
              <w:rPr>
                <w:b/>
                <w:bCs/>
              </w:rPr>
              <w:t xml:space="preserve"> (</w:t>
            </w:r>
            <w:r w:rsidR="00BC72B3">
              <w:rPr>
                <w:b/>
                <w:bCs/>
              </w:rPr>
              <w:t>step</w:t>
            </w:r>
            <w:r>
              <w:rPr>
                <w:b/>
                <w:bCs/>
              </w:rPr>
              <w:t xml:space="preserve"> 2)</w:t>
            </w:r>
            <w:r w:rsidR="00CF0B0B" w:rsidRPr="00CF0B0B">
              <w:rPr>
                <w:b/>
                <w:bCs/>
              </w:rPr>
              <w:t xml:space="preserve"> as well as below.</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7CECD871" w14:textId="77777777" w:rsidR="00CF0B0B" w:rsidRDefault="00CF0B0B" w:rsidP="006E25D9">
            <w:pPr>
              <w:rPr>
                <w:b/>
                <w:bCs/>
              </w:rPr>
            </w:pPr>
          </w:p>
          <w:p w14:paraId="529C8C8E" w14:textId="48B499B2" w:rsidR="00CF0B0B" w:rsidRDefault="00CF0B0B" w:rsidP="006E25D9">
            <w:pPr>
              <w:rPr>
                <w:rFonts w:ascii="Calibri" w:eastAsia="Calibri" w:hAnsi="Calibri" w:cs="Calibri"/>
              </w:rPr>
            </w:pPr>
            <w:r>
              <w:rPr>
                <w:b/>
                <w:bCs/>
              </w:rPr>
              <w:t>DOHMH Program Manager:</w:t>
            </w:r>
            <w:r w:rsidR="008F7E6B">
              <w:rPr>
                <w:b/>
                <w:bCs/>
              </w:rPr>
              <w:t xml:space="preserve"> </w:t>
            </w:r>
            <w:r w:rsidR="0065352C">
              <w:rPr>
                <w:rFonts w:ascii="Calibri" w:eastAsia="Calibri" w:hAnsi="Calibri" w:cs="Calibri"/>
              </w:rPr>
              <w:t>Marsha Williams, MPH, CB</w:t>
            </w:r>
            <w:r w:rsidR="009A3EB3">
              <w:rPr>
                <w:rFonts w:ascii="Calibri" w:eastAsia="Calibri" w:hAnsi="Calibri" w:cs="Calibri"/>
              </w:rPr>
              <w:t>CP</w:t>
            </w:r>
          </w:p>
          <w:p w14:paraId="1EEF9E36" w14:textId="03F6F0AE" w:rsidR="00CF0B0B" w:rsidRDefault="00CF0B0B" w:rsidP="006E25D9">
            <w:pPr>
              <w:rPr>
                <w:b/>
                <w:bCs/>
              </w:rPr>
            </w:pPr>
            <w:r>
              <w:rPr>
                <w:b/>
                <w:bCs/>
              </w:rPr>
              <w:t>Phone number:</w:t>
            </w:r>
            <w:r w:rsidR="002C1DA3">
              <w:rPr>
                <w:b/>
                <w:bCs/>
              </w:rPr>
              <w:t xml:space="preserve"> </w:t>
            </w:r>
            <w:r w:rsidR="356A336A">
              <w:t>347-396-2</w:t>
            </w:r>
            <w:r w:rsidR="009D70B1">
              <w:t>719</w:t>
            </w:r>
          </w:p>
          <w:p w14:paraId="7DC192AB" w14:textId="0181BC08" w:rsidR="00CF0B0B" w:rsidRDefault="00CF0B0B" w:rsidP="006E25D9">
            <w:pPr>
              <w:rPr>
                <w:rFonts w:ascii="Calibri" w:eastAsia="Calibri" w:hAnsi="Calibri" w:cs="Calibri"/>
              </w:rPr>
            </w:pPr>
            <w:r w:rsidRPr="458D73AD">
              <w:rPr>
                <w:b/>
                <w:bCs/>
              </w:rPr>
              <w:t>Email:</w:t>
            </w:r>
            <w:r w:rsidR="7D948B7B" w:rsidRPr="458D73AD">
              <w:rPr>
                <w:b/>
                <w:bCs/>
              </w:rPr>
              <w:t xml:space="preserve"> </w:t>
            </w:r>
            <w:hyperlink r:id="rId11" w:history="1">
              <w:r w:rsidR="00AE60AB" w:rsidRPr="007B6C71">
                <w:rPr>
                  <w:rStyle w:val="Hyperlink"/>
                </w:rPr>
                <w:t xml:space="preserve">mradclif@health.nyc.gov   </w:t>
              </w:r>
            </w:hyperlink>
          </w:p>
          <w:p w14:paraId="13B1808A" w14:textId="2538592B" w:rsidR="00CF0B0B" w:rsidRPr="00CF0B0B" w:rsidRDefault="00CF0B0B" w:rsidP="006E25D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2E9501CA" w14:textId="49EF25B6" w:rsidR="458D73AD" w:rsidRDefault="458D73AD" w:rsidP="458D73AD">
            <w:pPr>
              <w:rPr>
                <w:b/>
                <w:bCs/>
              </w:rPr>
            </w:pPr>
          </w:p>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52D3FACB" w14:textId="5F09C8C9" w:rsidR="00AD737E" w:rsidRPr="008911D3" w:rsidRDefault="00AD737E" w:rsidP="00AD737E">
            <w:pPr>
              <w:textAlignment w:val="baseline"/>
              <w:rPr>
                <w:rFonts w:ascii="Calibri" w:eastAsia="Times New Roman" w:hAnsi="Calibri" w:cs="Calibri"/>
              </w:rPr>
            </w:pPr>
            <w:r w:rsidRPr="008911D3">
              <w:rPr>
                <w:rFonts w:ascii="Calibri" w:eastAsia="Times New Roman" w:hAnsi="Calibri" w:cs="Calibri"/>
              </w:rPr>
              <w:t xml:space="preserve">Formalize </w:t>
            </w:r>
            <w:r>
              <w:rPr>
                <w:rFonts w:ascii="Calibri" w:eastAsia="Times New Roman" w:hAnsi="Calibri" w:cs="Calibri"/>
              </w:rPr>
              <w:t>b</w:t>
            </w:r>
            <w:r w:rsidRPr="008911D3">
              <w:rPr>
                <w:rFonts w:ascii="Calibri" w:eastAsia="Times New Roman" w:hAnsi="Calibri" w:cs="Calibri"/>
              </w:rPr>
              <w:t xml:space="preserve">orough </w:t>
            </w:r>
            <w:r>
              <w:rPr>
                <w:rFonts w:ascii="Calibri" w:eastAsia="Times New Roman" w:hAnsi="Calibri" w:cs="Calibri"/>
              </w:rPr>
              <w:t>c</w:t>
            </w:r>
            <w:r w:rsidRPr="008911D3">
              <w:rPr>
                <w:rFonts w:ascii="Calibri" w:eastAsia="Times New Roman" w:hAnsi="Calibri" w:cs="Calibri"/>
              </w:rPr>
              <w:t xml:space="preserve">oalition </w:t>
            </w:r>
            <w:r>
              <w:rPr>
                <w:rFonts w:ascii="Calibri" w:eastAsia="Times New Roman" w:hAnsi="Calibri" w:cs="Calibri"/>
              </w:rPr>
              <w:t>c</w:t>
            </w:r>
            <w:r w:rsidRPr="008911D3">
              <w:rPr>
                <w:rFonts w:ascii="Calibri" w:eastAsia="Times New Roman" w:hAnsi="Calibri" w:cs="Calibri"/>
              </w:rPr>
              <w:t xml:space="preserve">ommunication </w:t>
            </w:r>
            <w:r>
              <w:rPr>
                <w:rFonts w:ascii="Calibri" w:eastAsia="Times New Roman" w:hAnsi="Calibri" w:cs="Calibri"/>
              </w:rPr>
              <w:t>p</w:t>
            </w:r>
            <w:r w:rsidRPr="008911D3">
              <w:rPr>
                <w:rFonts w:ascii="Calibri" w:eastAsia="Times New Roman" w:hAnsi="Calibri" w:cs="Calibri"/>
              </w:rPr>
              <w:t>roces</w:t>
            </w:r>
            <w:r>
              <w:rPr>
                <w:rFonts w:ascii="Calibri" w:eastAsia="Times New Roman" w:hAnsi="Calibri" w:cs="Calibri"/>
              </w:rPr>
              <w:t xml:space="preserve">s, </w:t>
            </w:r>
            <w:r w:rsidRPr="008911D3">
              <w:rPr>
                <w:rFonts w:ascii="Calibri" w:eastAsia="Times New Roman" w:hAnsi="Calibri" w:cs="Calibri"/>
              </w:rPr>
              <w:t xml:space="preserve">using template provided by </w:t>
            </w:r>
            <w:r w:rsidR="405A8D58" w:rsidRPr="18C67BD5">
              <w:rPr>
                <w:rFonts w:ascii="Calibri" w:eastAsia="Times New Roman" w:hAnsi="Calibri" w:cs="Calibri"/>
              </w:rPr>
              <w:t xml:space="preserve">NYC </w:t>
            </w:r>
            <w:r w:rsidRPr="008911D3">
              <w:rPr>
                <w:rFonts w:ascii="Calibri" w:eastAsia="Times New Roman" w:hAnsi="Calibri" w:cs="Calibri"/>
              </w:rPr>
              <w:t>DOHMH</w:t>
            </w:r>
            <w:r>
              <w:rPr>
                <w:rFonts w:ascii="Calibri" w:eastAsia="Times New Roman" w:hAnsi="Calibri" w:cs="Calibri"/>
              </w:rPr>
              <w:t>,</w:t>
            </w:r>
            <w:r w:rsidRPr="008911D3">
              <w:rPr>
                <w:rFonts w:ascii="Calibri" w:eastAsia="Times New Roman" w:hAnsi="Calibri" w:cs="Calibri"/>
              </w:rPr>
              <w:t xml:space="preserve"> to include: </w:t>
            </w:r>
          </w:p>
          <w:p w14:paraId="294911F8" w14:textId="77777777" w:rsidR="00AD737E" w:rsidRPr="008911D3" w:rsidRDefault="00AD737E" w:rsidP="00AD737E">
            <w:pPr>
              <w:textAlignment w:val="baseline"/>
              <w:rPr>
                <w:rFonts w:ascii="Calibri" w:eastAsia="Times New Roman" w:hAnsi="Calibri" w:cs="Calibri"/>
              </w:rPr>
            </w:pPr>
          </w:p>
          <w:p w14:paraId="734310DC" w14:textId="77777777" w:rsidR="00AD737E" w:rsidRDefault="00AD737E" w:rsidP="00AD737E">
            <w:pPr>
              <w:pStyle w:val="ListParagraph"/>
              <w:numPr>
                <w:ilvl w:val="0"/>
                <w:numId w:val="11"/>
              </w:numPr>
              <w:textAlignment w:val="baseline"/>
              <w:rPr>
                <w:rFonts w:ascii="Calibri" w:eastAsia="Times New Roman" w:hAnsi="Calibri" w:cs="Calibri"/>
              </w:rPr>
            </w:pPr>
            <w:r w:rsidRPr="008911D3">
              <w:rPr>
                <w:rFonts w:ascii="Calibri" w:eastAsia="Times New Roman" w:hAnsi="Calibri" w:cs="Calibri"/>
              </w:rPr>
              <w:t>Introduction with the purpose of the communication plan process and scope</w:t>
            </w:r>
          </w:p>
          <w:p w14:paraId="6EEAC9D8" w14:textId="77777777" w:rsidR="00AD737E" w:rsidRDefault="00AD737E" w:rsidP="00AD737E">
            <w:pPr>
              <w:pStyle w:val="ListParagraph"/>
              <w:numPr>
                <w:ilvl w:val="0"/>
                <w:numId w:val="11"/>
              </w:numPr>
              <w:textAlignment w:val="baseline"/>
              <w:rPr>
                <w:rFonts w:ascii="Calibri" w:eastAsia="Times New Roman" w:hAnsi="Calibri" w:cs="Calibri"/>
              </w:rPr>
            </w:pPr>
            <w:r w:rsidRPr="008911D3">
              <w:rPr>
                <w:rFonts w:ascii="Calibri" w:eastAsia="Times New Roman" w:hAnsi="Calibri" w:cs="Calibri"/>
              </w:rPr>
              <w:t>Procedures with planning assumptions describing situations in which the process would be put into action and how documentation for the process will be maintained</w:t>
            </w:r>
          </w:p>
          <w:p w14:paraId="404E6279" w14:textId="77777777" w:rsidR="00AD737E" w:rsidRDefault="00AD737E" w:rsidP="00AD737E">
            <w:pPr>
              <w:pStyle w:val="ListParagraph"/>
              <w:numPr>
                <w:ilvl w:val="0"/>
                <w:numId w:val="11"/>
              </w:numPr>
              <w:textAlignment w:val="baseline"/>
              <w:rPr>
                <w:rFonts w:ascii="Calibri" w:eastAsia="Times New Roman" w:hAnsi="Calibri" w:cs="Calibri"/>
              </w:rPr>
            </w:pPr>
            <w:r w:rsidRPr="008911D3">
              <w:rPr>
                <w:rFonts w:ascii="Calibri" w:eastAsia="Times New Roman" w:hAnsi="Calibri" w:cs="Calibri"/>
              </w:rPr>
              <w:t xml:space="preserve">Process constraints </w:t>
            </w:r>
          </w:p>
          <w:p w14:paraId="1A24914E" w14:textId="77777777" w:rsidR="00AD737E" w:rsidRDefault="00AD737E" w:rsidP="00AD737E">
            <w:pPr>
              <w:pStyle w:val="ListParagraph"/>
              <w:numPr>
                <w:ilvl w:val="0"/>
                <w:numId w:val="11"/>
              </w:numPr>
              <w:textAlignment w:val="baseline"/>
              <w:rPr>
                <w:rFonts w:ascii="Calibri" w:eastAsia="Times New Roman" w:hAnsi="Calibri" w:cs="Calibri"/>
              </w:rPr>
            </w:pPr>
            <w:r w:rsidRPr="008911D3">
              <w:rPr>
                <w:rFonts w:ascii="Calibri" w:eastAsia="Times New Roman" w:hAnsi="Calibri" w:cs="Calibri"/>
              </w:rPr>
              <w:t xml:space="preserve">Process vehicles and tools </w:t>
            </w:r>
          </w:p>
          <w:p w14:paraId="07E70C8B" w14:textId="77777777" w:rsidR="00AD737E" w:rsidRDefault="00AD737E" w:rsidP="00AD737E">
            <w:pPr>
              <w:pStyle w:val="ListParagraph"/>
              <w:numPr>
                <w:ilvl w:val="0"/>
                <w:numId w:val="11"/>
              </w:numPr>
              <w:textAlignment w:val="baseline"/>
              <w:rPr>
                <w:rFonts w:ascii="Calibri" w:eastAsia="Times New Roman" w:hAnsi="Calibri" w:cs="Calibri"/>
              </w:rPr>
            </w:pPr>
            <w:r w:rsidRPr="008911D3">
              <w:rPr>
                <w:rFonts w:ascii="Calibri" w:eastAsia="Times New Roman" w:hAnsi="Calibri" w:cs="Calibri"/>
              </w:rPr>
              <w:t xml:space="preserve">Identification of </w:t>
            </w:r>
            <w:r>
              <w:rPr>
                <w:rFonts w:ascii="Calibri" w:eastAsia="Times New Roman" w:hAnsi="Calibri" w:cs="Calibri"/>
              </w:rPr>
              <w:t>b</w:t>
            </w:r>
            <w:r w:rsidRPr="008911D3">
              <w:rPr>
                <w:rFonts w:ascii="Calibri" w:eastAsia="Times New Roman" w:hAnsi="Calibri" w:cs="Calibri"/>
              </w:rPr>
              <w:t xml:space="preserve">orough </w:t>
            </w:r>
            <w:r>
              <w:rPr>
                <w:rFonts w:ascii="Calibri" w:eastAsia="Times New Roman" w:hAnsi="Calibri" w:cs="Calibri"/>
              </w:rPr>
              <w:t>c</w:t>
            </w:r>
            <w:r w:rsidRPr="008911D3">
              <w:rPr>
                <w:rFonts w:ascii="Calibri" w:eastAsia="Times New Roman" w:hAnsi="Calibri" w:cs="Calibri"/>
              </w:rPr>
              <w:t>oalition members and assessment of their needs with respect to this process</w:t>
            </w:r>
          </w:p>
          <w:p w14:paraId="45D8F49B" w14:textId="77777777" w:rsidR="00AD737E" w:rsidRDefault="00AD737E" w:rsidP="00AD737E">
            <w:pPr>
              <w:pStyle w:val="ListParagraph"/>
              <w:numPr>
                <w:ilvl w:val="0"/>
                <w:numId w:val="11"/>
              </w:numPr>
              <w:textAlignment w:val="baseline"/>
              <w:rPr>
                <w:rFonts w:ascii="Calibri" w:eastAsia="Times New Roman" w:hAnsi="Calibri" w:cs="Calibri"/>
              </w:rPr>
            </w:pPr>
            <w:r w:rsidRPr="008911D3">
              <w:rPr>
                <w:rFonts w:ascii="Calibri" w:eastAsia="Times New Roman" w:hAnsi="Calibri" w:cs="Calibri"/>
              </w:rPr>
              <w:t>Description of external process and how it will be used to engage with the community</w:t>
            </w:r>
          </w:p>
          <w:p w14:paraId="2F2CBC6B" w14:textId="77777777" w:rsidR="00AD737E" w:rsidRDefault="00AD737E" w:rsidP="00AD737E">
            <w:pPr>
              <w:textAlignment w:val="baseline"/>
              <w:rPr>
                <w:rFonts w:ascii="Calibri" w:eastAsia="Times New Roman" w:hAnsi="Calibri" w:cs="Calibri"/>
              </w:rPr>
            </w:pPr>
          </w:p>
          <w:p w14:paraId="6245341A" w14:textId="77777777" w:rsidR="00AD737E" w:rsidRDefault="00AD737E" w:rsidP="00AD737E">
            <w:pPr>
              <w:textAlignment w:val="baseline"/>
              <w:rPr>
                <w:rFonts w:ascii="Calibri" w:eastAsia="Times New Roman" w:hAnsi="Calibri" w:cs="Calibri"/>
              </w:rPr>
            </w:pPr>
            <w:r>
              <w:rPr>
                <w:rFonts w:ascii="Calibri" w:eastAsia="Times New Roman" w:hAnsi="Calibri" w:cs="Calibri"/>
              </w:rPr>
              <w:t>Borough coalitions without mature communications processes may draft current communication methods. These are subject to approval by DOHMH and must include</w:t>
            </w:r>
          </w:p>
          <w:p w14:paraId="62B82313" w14:textId="77777777" w:rsidR="0091030D" w:rsidRDefault="00AD737E" w:rsidP="00AD737E">
            <w:pPr>
              <w:pStyle w:val="ListParagraph"/>
              <w:numPr>
                <w:ilvl w:val="0"/>
                <w:numId w:val="12"/>
              </w:numPr>
              <w:textAlignment w:val="baseline"/>
              <w:rPr>
                <w:rFonts w:ascii="Calibri" w:eastAsia="Times New Roman" w:hAnsi="Calibri" w:cs="Calibri"/>
              </w:rPr>
            </w:pPr>
            <w:r w:rsidRPr="008911D3">
              <w:rPr>
                <w:rFonts w:ascii="Calibri" w:eastAsia="Times New Roman" w:hAnsi="Calibri" w:cs="Calibri"/>
              </w:rPr>
              <w:t>Process for collecting and maintaining members contact information</w:t>
            </w:r>
          </w:p>
          <w:p w14:paraId="068A980D" w14:textId="70BB7659" w:rsidR="00CF0B0B" w:rsidRPr="0091030D" w:rsidRDefault="00AD737E" w:rsidP="00AD737E">
            <w:pPr>
              <w:pStyle w:val="ListParagraph"/>
              <w:numPr>
                <w:ilvl w:val="0"/>
                <w:numId w:val="12"/>
              </w:numPr>
              <w:textAlignment w:val="baseline"/>
              <w:rPr>
                <w:rFonts w:ascii="Calibri" w:eastAsia="Times New Roman" w:hAnsi="Calibri" w:cs="Calibri"/>
              </w:rPr>
            </w:pPr>
            <w:r w:rsidRPr="0091030D">
              <w:rPr>
                <w:rFonts w:ascii="Calibri" w:eastAsia="Times New Roman" w:hAnsi="Calibri" w:cs="Calibri"/>
              </w:rPr>
              <w:t>Method for gathering and providing situational awareness to members</w:t>
            </w:r>
          </w:p>
          <w:p w14:paraId="75367FEA" w14:textId="77777777" w:rsidR="00AD737E" w:rsidRDefault="00AD737E" w:rsidP="25A72344">
            <w:pPr>
              <w:rPr>
                <w:b/>
                <w:bCs/>
              </w:rPr>
            </w:pPr>
          </w:p>
          <w:p w14:paraId="62CF65F1" w14:textId="3D335451" w:rsidR="00CF0B0B" w:rsidRPr="00CF0B0B" w:rsidRDefault="4F4445F4" w:rsidP="25A72344">
            <w:pPr>
              <w:rPr>
                <w:rFonts w:ascii="Calibri" w:eastAsia="Calibri" w:hAnsi="Calibri" w:cs="Calibri"/>
              </w:rPr>
            </w:pPr>
            <w:r w:rsidRPr="25A72344">
              <w:rPr>
                <w:b/>
                <w:bCs/>
              </w:rPr>
              <w:t>Required Documentation:</w:t>
            </w:r>
          </w:p>
          <w:p w14:paraId="470AFFB9" w14:textId="317E4C4F" w:rsidR="00CF0B0B" w:rsidRPr="00CF0B0B" w:rsidRDefault="005E0FB6" w:rsidP="458D73AD">
            <w:pPr>
              <w:rPr>
                <w:rFonts w:ascii="Calibri" w:eastAsia="Calibri" w:hAnsi="Calibri" w:cs="Calibri"/>
                <w:b/>
              </w:rPr>
            </w:pPr>
            <w:r>
              <w:rPr>
                <w:rStyle w:val="normaltextrun"/>
                <w:rFonts w:ascii="Calibri" w:hAnsi="Calibri" w:cs="Calibri"/>
                <w:color w:val="000000"/>
                <w:shd w:val="clear" w:color="auto" w:fill="FFFFFF"/>
              </w:rPr>
              <w:t xml:space="preserve">Completed communication </w:t>
            </w:r>
            <w:r w:rsidRPr="023519B0">
              <w:rPr>
                <w:rStyle w:val="normaltextrun"/>
                <w:rFonts w:ascii="Calibri" w:hAnsi="Calibri" w:cs="Calibri"/>
                <w:color w:val="000000" w:themeColor="text1"/>
              </w:rPr>
              <w:t>p</w:t>
            </w:r>
            <w:r w:rsidRPr="023519B0">
              <w:rPr>
                <w:rStyle w:val="normaltextrun"/>
                <w:color w:val="000000" w:themeColor="text1"/>
              </w:rPr>
              <w:t xml:space="preserve">rocess </w:t>
            </w:r>
            <w:r>
              <w:rPr>
                <w:rStyle w:val="normaltextrun"/>
                <w:rFonts w:ascii="Calibri" w:hAnsi="Calibri" w:cs="Calibri"/>
                <w:color w:val="000000"/>
                <w:shd w:val="clear" w:color="auto" w:fill="FFFFFF"/>
              </w:rPr>
              <w:t xml:space="preserve">template </w:t>
            </w:r>
            <w:r>
              <w:rPr>
                <w:rStyle w:val="normaltextrun"/>
                <w:color w:val="000000"/>
                <w:shd w:val="clear" w:color="auto" w:fill="FFFFFF"/>
              </w:rPr>
              <w:t>or draft of current communication methods</w:t>
            </w:r>
            <w:r>
              <w:rPr>
                <w:rStyle w:val="normaltextrun"/>
                <w:rFonts w:ascii="Calibri" w:hAnsi="Calibri" w:cs="Calibri"/>
                <w:color w:val="000000"/>
                <w:shd w:val="clear" w:color="auto" w:fill="FFFFFF"/>
              </w:rPr>
              <w:t xml:space="preserve"> due by the </w:t>
            </w:r>
            <w:r w:rsidRPr="18C67BD5">
              <w:rPr>
                <w:rStyle w:val="normaltextrun"/>
                <w:rFonts w:ascii="Calibri" w:hAnsi="Calibri" w:cs="Calibri"/>
                <w:b/>
                <w:color w:val="000000"/>
                <w:shd w:val="clear" w:color="auto" w:fill="FFFFFF"/>
              </w:rPr>
              <w:t xml:space="preserve">midterm performance period of the contract (November 1, </w:t>
            </w:r>
            <w:bookmarkStart w:id="0" w:name="_Int_V9k2PsoV"/>
            <w:r w:rsidRPr="18C67BD5">
              <w:rPr>
                <w:rStyle w:val="contextualspellingandgrammarerror"/>
                <w:rFonts w:ascii="Calibri" w:hAnsi="Calibri" w:cs="Calibri"/>
                <w:b/>
                <w:color w:val="000000"/>
                <w:shd w:val="clear" w:color="auto" w:fill="FFFFFF"/>
              </w:rPr>
              <w:t>2022</w:t>
            </w:r>
            <w:bookmarkEnd w:id="0"/>
            <w:r w:rsidRPr="18C67BD5">
              <w:rPr>
                <w:rStyle w:val="normaltextrun"/>
                <w:rFonts w:ascii="Calibri" w:hAnsi="Calibri" w:cs="Calibri"/>
                <w:b/>
                <w:color w:val="000000"/>
                <w:shd w:val="clear" w:color="auto" w:fill="FFFFFF"/>
              </w:rPr>
              <w:t xml:space="preserve"> to February 28, 2023). </w:t>
            </w:r>
          </w:p>
          <w:p w14:paraId="0EB4E804" w14:textId="750C6B92" w:rsidR="00CF0B0B" w:rsidRPr="00CF0B0B" w:rsidRDefault="00CF0B0B" w:rsidP="458D73AD">
            <w:pPr>
              <w:pStyle w:val="ListParagraph"/>
              <w:rPr>
                <w:rFonts w:ascii="Calibri" w:eastAsia="Calibri" w:hAnsi="Calibri" w:cs="Calibri"/>
              </w:rPr>
            </w:pPr>
          </w:p>
        </w:tc>
      </w:tr>
    </w:tbl>
    <w:p w14:paraId="3E66A788" w14:textId="2A4C80F7" w:rsidR="007571DE" w:rsidRDefault="007571DE"/>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12320"/>
      </w:tblGrid>
      <w:tr w:rsidR="004B3FEB" w:rsidRPr="00CF0B0B" w14:paraId="371F95DF" w14:textId="77777777" w:rsidTr="00400721">
        <w:trPr>
          <w:trHeight w:val="510"/>
        </w:trPr>
        <w:tc>
          <w:tcPr>
            <w:tcW w:w="1345" w:type="dxa"/>
            <w:shd w:val="clear" w:color="auto" w:fill="FFCC66"/>
            <w:vAlign w:val="center"/>
          </w:tcPr>
          <w:p w14:paraId="1BB63F1A" w14:textId="130EC97E"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3</w:t>
            </w:r>
          </w:p>
        </w:tc>
        <w:tc>
          <w:tcPr>
            <w:tcW w:w="12320" w:type="dxa"/>
          </w:tcPr>
          <w:p w14:paraId="399F80DE" w14:textId="1571A004" w:rsidR="00A652B6" w:rsidRPr="00CF0B0B" w:rsidRDefault="00400721" w:rsidP="00400721">
            <w:pPr>
              <w:rPr>
                <w:b/>
                <w:bCs/>
              </w:rPr>
            </w:pPr>
            <w:r w:rsidRPr="00400721">
              <w:rPr>
                <w:b/>
                <w:bCs/>
              </w:rPr>
              <w:t xml:space="preserve">There is no proposal due for this deliverable. Move to step 4 below. </w:t>
            </w:r>
          </w:p>
        </w:tc>
      </w:tr>
    </w:tbl>
    <w:p w14:paraId="48FD9659" w14:textId="533F0CB8" w:rsidR="00700720" w:rsidRDefault="00700720"/>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05"/>
        <w:gridCol w:w="3668"/>
        <w:gridCol w:w="8821"/>
      </w:tblGrid>
      <w:tr w:rsidR="00B56667" w:rsidRPr="00CF0B0B" w14:paraId="38BCCE3C" w14:textId="77777777" w:rsidTr="003645E3">
        <w:trPr>
          <w:trHeight w:val="483"/>
        </w:trPr>
        <w:tc>
          <w:tcPr>
            <w:tcW w:w="1305" w:type="dxa"/>
            <w:vMerge w:val="restart"/>
            <w:shd w:val="clear" w:color="auto" w:fill="009900"/>
            <w:vAlign w:val="center"/>
          </w:tcPr>
          <w:p w14:paraId="1FEB0ACB" w14:textId="68970969" w:rsidR="00B56667" w:rsidRDefault="00B56667" w:rsidP="004B3FEB">
            <w:pPr>
              <w:jc w:val="center"/>
              <w:rPr>
                <w:b/>
                <w:bCs/>
                <w:color w:val="FFFFFF" w:themeColor="background1"/>
                <w:sz w:val="56"/>
                <w:szCs w:val="56"/>
              </w:rPr>
            </w:pPr>
            <w:r>
              <w:rPr>
                <w:b/>
                <w:bCs/>
                <w:color w:val="FFFFFF" w:themeColor="background1"/>
                <w:sz w:val="56"/>
                <w:szCs w:val="56"/>
              </w:rPr>
              <w:t>4</w:t>
            </w:r>
          </w:p>
        </w:tc>
        <w:tc>
          <w:tcPr>
            <w:tcW w:w="12489" w:type="dxa"/>
            <w:gridSpan w:val="2"/>
            <w:vAlign w:val="center"/>
          </w:tcPr>
          <w:p w14:paraId="701D8D26" w14:textId="10E1D013" w:rsidR="00B56667" w:rsidRPr="00CF0B0B" w:rsidRDefault="00B56667" w:rsidP="006E25D9">
            <w:pPr>
              <w:rPr>
                <w:b/>
                <w:bCs/>
              </w:rPr>
            </w:pPr>
            <w:r>
              <w:rPr>
                <w:b/>
                <w:bCs/>
              </w:rPr>
              <w:t xml:space="preserve">Communication Process | DUE DATE: </w:t>
            </w:r>
            <w:r w:rsidRPr="000F2815">
              <w:rPr>
                <w:b/>
                <w:bCs/>
              </w:rPr>
              <w:t>February 28, 2023</w:t>
            </w:r>
          </w:p>
        </w:tc>
      </w:tr>
      <w:tr w:rsidR="05C9A58F" w14:paraId="14EC8362" w14:textId="77777777" w:rsidTr="05C9A58F">
        <w:trPr>
          <w:trHeight w:val="405"/>
        </w:trPr>
        <w:tc>
          <w:tcPr>
            <w:tcW w:w="1305" w:type="dxa"/>
            <w:vMerge/>
            <w:vAlign w:val="center"/>
          </w:tcPr>
          <w:p w14:paraId="46E9A8E6" w14:textId="77777777" w:rsidR="0054784F" w:rsidRDefault="0054784F"/>
        </w:tc>
        <w:tc>
          <w:tcPr>
            <w:tcW w:w="3668" w:type="dxa"/>
          </w:tcPr>
          <w:p w14:paraId="2302A5C5" w14:textId="1A71ED43" w:rsidR="20867217" w:rsidRDefault="20867217" w:rsidP="05C9A58F">
            <w:pPr>
              <w:rPr>
                <w:b/>
                <w:bCs/>
              </w:rPr>
            </w:pPr>
            <w:r w:rsidRPr="05C9A58F">
              <w:rPr>
                <w:b/>
                <w:bCs/>
              </w:rPr>
              <w:t>Requirement</w:t>
            </w:r>
          </w:p>
        </w:tc>
        <w:tc>
          <w:tcPr>
            <w:tcW w:w="8821" w:type="dxa"/>
          </w:tcPr>
          <w:p w14:paraId="31194E60" w14:textId="079050CD" w:rsidR="20867217" w:rsidRDefault="20867217" w:rsidP="05C9A58F">
            <w:pPr>
              <w:rPr>
                <w:b/>
                <w:bCs/>
              </w:rPr>
            </w:pPr>
            <w:r w:rsidRPr="05C9A58F">
              <w:rPr>
                <w:b/>
                <w:bCs/>
              </w:rPr>
              <w:t>Your Response</w:t>
            </w:r>
          </w:p>
        </w:tc>
      </w:tr>
      <w:tr w:rsidR="00B56667" w:rsidRPr="00CF0B0B" w14:paraId="1C327EBD" w14:textId="77777777" w:rsidTr="003645E3">
        <w:trPr>
          <w:trHeight w:val="1500"/>
        </w:trPr>
        <w:tc>
          <w:tcPr>
            <w:tcW w:w="1305" w:type="dxa"/>
            <w:vMerge/>
          </w:tcPr>
          <w:p w14:paraId="7A5885FA" w14:textId="4598BB75" w:rsidR="00B56667" w:rsidRPr="00FC6EEE" w:rsidRDefault="00B56667" w:rsidP="006E25D9">
            <w:pPr>
              <w:jc w:val="center"/>
              <w:rPr>
                <w:b/>
                <w:bCs/>
                <w:color w:val="FFFFFF" w:themeColor="background1"/>
                <w:sz w:val="56"/>
                <w:szCs w:val="56"/>
              </w:rPr>
            </w:pPr>
          </w:p>
        </w:tc>
        <w:tc>
          <w:tcPr>
            <w:tcW w:w="3668" w:type="dxa"/>
          </w:tcPr>
          <w:p w14:paraId="3118C5C7" w14:textId="6084A16C" w:rsidR="00B56667" w:rsidRPr="00CF0B0B" w:rsidRDefault="00B56667" w:rsidP="00A83B05">
            <w:pPr>
              <w:rPr>
                <w:b/>
                <w:bCs/>
              </w:rPr>
            </w:pPr>
            <w:r w:rsidRPr="005D510F">
              <w:rPr>
                <w:b/>
                <w:bCs/>
              </w:rPr>
              <w:t>Introduction with the purpose of the communication plan process and scope</w:t>
            </w:r>
          </w:p>
        </w:tc>
        <w:tc>
          <w:tcPr>
            <w:tcW w:w="8821" w:type="dxa"/>
          </w:tcPr>
          <w:p w14:paraId="1E6823CF" w14:textId="616C629B" w:rsidR="00B56667" w:rsidRPr="00A83B05" w:rsidRDefault="00B56667" w:rsidP="00A83B05">
            <w:r w:rsidRPr="00A83B05">
              <w:rPr>
                <w:color w:val="0070C0"/>
              </w:rPr>
              <w:t xml:space="preserve"> </w:t>
            </w:r>
          </w:p>
        </w:tc>
      </w:tr>
      <w:tr w:rsidR="00B56667" w:rsidRPr="00CF0B0B" w14:paraId="28D92F2E" w14:textId="77777777" w:rsidTr="003645E3">
        <w:trPr>
          <w:trHeight w:val="151"/>
        </w:trPr>
        <w:tc>
          <w:tcPr>
            <w:tcW w:w="1305" w:type="dxa"/>
            <w:vMerge/>
          </w:tcPr>
          <w:p w14:paraId="5834D786" w14:textId="77777777" w:rsidR="00B56667" w:rsidRPr="00FC6EEE" w:rsidRDefault="00B56667" w:rsidP="006E25D9">
            <w:pPr>
              <w:jc w:val="center"/>
              <w:rPr>
                <w:b/>
                <w:bCs/>
                <w:color w:val="FFFFFF" w:themeColor="background1"/>
                <w:sz w:val="56"/>
                <w:szCs w:val="56"/>
              </w:rPr>
            </w:pPr>
          </w:p>
        </w:tc>
        <w:tc>
          <w:tcPr>
            <w:tcW w:w="3668" w:type="dxa"/>
          </w:tcPr>
          <w:p w14:paraId="7E3D18BA" w14:textId="491946B9" w:rsidR="00B56667" w:rsidRPr="00CF0B0B" w:rsidRDefault="00B56667" w:rsidP="00A83B05">
            <w:pPr>
              <w:rPr>
                <w:b/>
                <w:bCs/>
              </w:rPr>
            </w:pPr>
            <w:r w:rsidRPr="004738EC">
              <w:rPr>
                <w:b/>
                <w:bCs/>
              </w:rPr>
              <w:t>Procedures with planning assumptions describing situations in which the process would be put into action and how documentation for the process will be maintained</w:t>
            </w:r>
          </w:p>
        </w:tc>
        <w:tc>
          <w:tcPr>
            <w:tcW w:w="8821" w:type="dxa"/>
          </w:tcPr>
          <w:p w14:paraId="08EA8ABD" w14:textId="175F0BF9" w:rsidR="00B56667" w:rsidRPr="00A83B05" w:rsidRDefault="00B56667" w:rsidP="00A83B05">
            <w:pPr>
              <w:rPr>
                <w:b/>
                <w:bCs/>
              </w:rPr>
            </w:pPr>
          </w:p>
        </w:tc>
      </w:tr>
      <w:tr w:rsidR="00B56667" w:rsidRPr="00CF0B0B" w14:paraId="7781C2E7" w14:textId="77777777" w:rsidTr="003645E3">
        <w:trPr>
          <w:trHeight w:val="645"/>
        </w:trPr>
        <w:tc>
          <w:tcPr>
            <w:tcW w:w="1305" w:type="dxa"/>
            <w:vMerge/>
          </w:tcPr>
          <w:p w14:paraId="79BAE1A4" w14:textId="77777777" w:rsidR="00B56667" w:rsidRPr="00FC6EEE" w:rsidRDefault="00B56667" w:rsidP="006E25D9">
            <w:pPr>
              <w:jc w:val="center"/>
              <w:rPr>
                <w:b/>
                <w:bCs/>
                <w:color w:val="FFFFFF" w:themeColor="background1"/>
                <w:sz w:val="56"/>
                <w:szCs w:val="56"/>
              </w:rPr>
            </w:pPr>
          </w:p>
        </w:tc>
        <w:tc>
          <w:tcPr>
            <w:tcW w:w="3668" w:type="dxa"/>
          </w:tcPr>
          <w:p w14:paraId="116F5AF9" w14:textId="14E13B67" w:rsidR="00B56667" w:rsidRPr="004738EC" w:rsidRDefault="00B56667" w:rsidP="00A83B05">
            <w:pPr>
              <w:rPr>
                <w:b/>
                <w:bCs/>
              </w:rPr>
            </w:pPr>
            <w:r w:rsidRPr="006E06DD">
              <w:rPr>
                <w:b/>
                <w:bCs/>
              </w:rPr>
              <w:t>Process constraints</w:t>
            </w:r>
          </w:p>
        </w:tc>
        <w:tc>
          <w:tcPr>
            <w:tcW w:w="8821" w:type="dxa"/>
          </w:tcPr>
          <w:p w14:paraId="7801C8D0" w14:textId="77777777" w:rsidR="00B56667" w:rsidRPr="00A83B05" w:rsidRDefault="00B56667" w:rsidP="00A83B05">
            <w:pPr>
              <w:rPr>
                <w:b/>
                <w:bCs/>
              </w:rPr>
            </w:pPr>
          </w:p>
        </w:tc>
      </w:tr>
      <w:tr w:rsidR="00B56667" w:rsidRPr="00CF0B0B" w14:paraId="0C184B41" w14:textId="77777777" w:rsidTr="003645E3">
        <w:trPr>
          <w:trHeight w:val="690"/>
        </w:trPr>
        <w:tc>
          <w:tcPr>
            <w:tcW w:w="1305" w:type="dxa"/>
            <w:vMerge/>
          </w:tcPr>
          <w:p w14:paraId="5A80ECDA" w14:textId="77777777" w:rsidR="00B56667" w:rsidRPr="00FC6EEE" w:rsidRDefault="00B56667" w:rsidP="006E25D9">
            <w:pPr>
              <w:jc w:val="center"/>
              <w:rPr>
                <w:b/>
                <w:bCs/>
                <w:color w:val="FFFFFF" w:themeColor="background1"/>
                <w:sz w:val="56"/>
                <w:szCs w:val="56"/>
              </w:rPr>
            </w:pPr>
          </w:p>
        </w:tc>
        <w:tc>
          <w:tcPr>
            <w:tcW w:w="3668" w:type="dxa"/>
          </w:tcPr>
          <w:p w14:paraId="1F0B4023" w14:textId="1D9D4B66" w:rsidR="00B56667" w:rsidRPr="006E06DD" w:rsidRDefault="00B56667" w:rsidP="00A83B05">
            <w:pPr>
              <w:rPr>
                <w:b/>
                <w:bCs/>
              </w:rPr>
            </w:pPr>
            <w:r w:rsidRPr="00E77B3E">
              <w:rPr>
                <w:b/>
                <w:bCs/>
              </w:rPr>
              <w:t>Process vehicles and tools</w:t>
            </w:r>
          </w:p>
        </w:tc>
        <w:tc>
          <w:tcPr>
            <w:tcW w:w="8821" w:type="dxa"/>
          </w:tcPr>
          <w:p w14:paraId="0DA8497F" w14:textId="77777777" w:rsidR="00B56667" w:rsidRPr="00A83B05" w:rsidRDefault="00B56667" w:rsidP="00A83B05">
            <w:pPr>
              <w:rPr>
                <w:b/>
                <w:bCs/>
              </w:rPr>
            </w:pPr>
          </w:p>
        </w:tc>
      </w:tr>
      <w:tr w:rsidR="00B56667" w:rsidRPr="00CF0B0B" w14:paraId="58564241" w14:textId="77777777" w:rsidTr="003645E3">
        <w:trPr>
          <w:trHeight w:val="1581"/>
        </w:trPr>
        <w:tc>
          <w:tcPr>
            <w:tcW w:w="1305" w:type="dxa"/>
            <w:vMerge/>
          </w:tcPr>
          <w:p w14:paraId="0977B046" w14:textId="77777777" w:rsidR="00B56667" w:rsidRPr="00FC6EEE" w:rsidRDefault="00B56667" w:rsidP="006E25D9">
            <w:pPr>
              <w:jc w:val="center"/>
              <w:rPr>
                <w:b/>
                <w:bCs/>
                <w:color w:val="FFFFFF" w:themeColor="background1"/>
                <w:sz w:val="56"/>
                <w:szCs w:val="56"/>
              </w:rPr>
            </w:pPr>
          </w:p>
        </w:tc>
        <w:tc>
          <w:tcPr>
            <w:tcW w:w="3668" w:type="dxa"/>
          </w:tcPr>
          <w:p w14:paraId="4FB22F24" w14:textId="01839CA4" w:rsidR="00B56667" w:rsidRPr="006E06DD" w:rsidRDefault="00B56667" w:rsidP="00A83B05">
            <w:pPr>
              <w:rPr>
                <w:b/>
                <w:bCs/>
              </w:rPr>
            </w:pPr>
            <w:r w:rsidRPr="00030061">
              <w:rPr>
                <w:b/>
                <w:bCs/>
              </w:rPr>
              <w:t>Identification of borough coalition members and assessment of their needs with respect to this process</w:t>
            </w:r>
          </w:p>
        </w:tc>
        <w:tc>
          <w:tcPr>
            <w:tcW w:w="8821" w:type="dxa"/>
          </w:tcPr>
          <w:p w14:paraId="16EDA513" w14:textId="25EC75C5" w:rsidR="00B56667" w:rsidRPr="007D1E15" w:rsidRDefault="00B56667" w:rsidP="00A83B05">
            <w:r w:rsidRPr="007D1E15">
              <w:t xml:space="preserve">Ex. </w:t>
            </w:r>
          </w:p>
          <w:p w14:paraId="7B6EC25B" w14:textId="78CA73CE" w:rsidR="00B56667" w:rsidRPr="007D1E15" w:rsidRDefault="00B56667" w:rsidP="00031E4E">
            <w:pPr>
              <w:pStyle w:val="ListParagraph"/>
              <w:numPr>
                <w:ilvl w:val="0"/>
                <w:numId w:val="12"/>
              </w:numPr>
            </w:pPr>
            <w:r w:rsidRPr="007D1E15">
              <w:t>Member Name</w:t>
            </w:r>
          </w:p>
          <w:p w14:paraId="09C9A34F" w14:textId="6EE8EFCA" w:rsidR="00B56667" w:rsidRPr="007D1E15" w:rsidRDefault="00B56667" w:rsidP="00031E4E">
            <w:pPr>
              <w:pStyle w:val="ListParagraph"/>
              <w:numPr>
                <w:ilvl w:val="0"/>
                <w:numId w:val="12"/>
              </w:numPr>
            </w:pPr>
            <w:r w:rsidRPr="007D1E15">
              <w:t>Name of Member</w:t>
            </w:r>
            <w:r>
              <w:t xml:space="preserve"> </w:t>
            </w:r>
            <w:r w:rsidRPr="007D1E15">
              <w:t>Organization</w:t>
            </w:r>
          </w:p>
          <w:p w14:paraId="61286470" w14:textId="34732C7C" w:rsidR="00B56667" w:rsidRPr="007D1E15" w:rsidRDefault="00B56667" w:rsidP="00031E4E">
            <w:pPr>
              <w:pStyle w:val="ListParagraph"/>
              <w:numPr>
                <w:ilvl w:val="0"/>
                <w:numId w:val="12"/>
              </w:numPr>
            </w:pPr>
            <w:r w:rsidRPr="007D1E15">
              <w:t>Member Contact Information</w:t>
            </w:r>
          </w:p>
          <w:p w14:paraId="7B96DCAC" w14:textId="659C9F81" w:rsidR="00B56667" w:rsidRPr="007D1E15" w:rsidRDefault="00B56667" w:rsidP="00031E4E">
            <w:pPr>
              <w:pStyle w:val="ListParagraph"/>
              <w:numPr>
                <w:ilvl w:val="0"/>
                <w:numId w:val="12"/>
              </w:numPr>
            </w:pPr>
            <w:r w:rsidRPr="007D1E15">
              <w:t xml:space="preserve">Communication Response Type </w:t>
            </w:r>
          </w:p>
          <w:p w14:paraId="417E6D82" w14:textId="11567421" w:rsidR="00B56667" w:rsidRPr="007D1E15" w:rsidRDefault="00B56667" w:rsidP="00031E4E">
            <w:pPr>
              <w:pStyle w:val="ListParagraph"/>
              <w:numPr>
                <w:ilvl w:val="0"/>
                <w:numId w:val="13"/>
              </w:numPr>
            </w:pPr>
            <w:r w:rsidRPr="007D1E15">
              <w:t>High response; Fully engaged</w:t>
            </w:r>
          </w:p>
          <w:p w14:paraId="3CB1BDDA" w14:textId="54210EB1" w:rsidR="00B56667" w:rsidRPr="007D1E15" w:rsidRDefault="00B56667" w:rsidP="00031E4E">
            <w:pPr>
              <w:pStyle w:val="ListParagraph"/>
              <w:numPr>
                <w:ilvl w:val="0"/>
                <w:numId w:val="13"/>
              </w:numPr>
            </w:pPr>
            <w:r w:rsidRPr="007D1E15">
              <w:t xml:space="preserve">Moderate response; Moderately engaged </w:t>
            </w:r>
          </w:p>
          <w:p w14:paraId="446B531B" w14:textId="77777777" w:rsidR="00B56667" w:rsidRPr="007D1E15" w:rsidRDefault="00B56667" w:rsidP="00031E4E">
            <w:pPr>
              <w:pStyle w:val="ListParagraph"/>
              <w:numPr>
                <w:ilvl w:val="0"/>
                <w:numId w:val="13"/>
              </w:numPr>
            </w:pPr>
            <w:r w:rsidRPr="007D1E15">
              <w:t>Low response; Low engagement</w:t>
            </w:r>
          </w:p>
          <w:p w14:paraId="133D788A" w14:textId="162F5275" w:rsidR="00B56667" w:rsidRPr="007D1E15" w:rsidRDefault="00B56667" w:rsidP="00C91B67">
            <w:pPr>
              <w:pStyle w:val="ListParagraph"/>
              <w:numPr>
                <w:ilvl w:val="0"/>
                <w:numId w:val="14"/>
              </w:numPr>
            </w:pPr>
            <w:r w:rsidRPr="007D1E15">
              <w:t>Member’s Preferred Communication Vehicle. Ex. Phone, email, text</w:t>
            </w:r>
          </w:p>
          <w:p w14:paraId="01C75D63" w14:textId="50E0B68D" w:rsidR="00B56667" w:rsidRPr="00A83B05" w:rsidRDefault="00B56667" w:rsidP="00A83B05">
            <w:pPr>
              <w:rPr>
                <w:b/>
                <w:bCs/>
              </w:rPr>
            </w:pPr>
          </w:p>
        </w:tc>
      </w:tr>
      <w:tr w:rsidR="00B56667" w:rsidRPr="00CF0B0B" w14:paraId="75E64759" w14:textId="77777777" w:rsidTr="003645E3">
        <w:trPr>
          <w:trHeight w:val="1725"/>
        </w:trPr>
        <w:tc>
          <w:tcPr>
            <w:tcW w:w="1305" w:type="dxa"/>
            <w:vMerge/>
          </w:tcPr>
          <w:p w14:paraId="0D33774D" w14:textId="77777777" w:rsidR="00B56667" w:rsidRPr="00FC6EEE" w:rsidRDefault="00B56667" w:rsidP="006E25D9">
            <w:pPr>
              <w:jc w:val="center"/>
              <w:rPr>
                <w:b/>
                <w:bCs/>
                <w:color w:val="FFFFFF" w:themeColor="background1"/>
                <w:sz w:val="56"/>
                <w:szCs w:val="56"/>
              </w:rPr>
            </w:pPr>
          </w:p>
        </w:tc>
        <w:tc>
          <w:tcPr>
            <w:tcW w:w="3668" w:type="dxa"/>
          </w:tcPr>
          <w:p w14:paraId="0A747228" w14:textId="402E1266" w:rsidR="00B56667" w:rsidRPr="00030061" w:rsidRDefault="00B56667" w:rsidP="00A83B05">
            <w:pPr>
              <w:rPr>
                <w:b/>
                <w:bCs/>
              </w:rPr>
            </w:pPr>
            <w:r w:rsidRPr="00104AE6">
              <w:rPr>
                <w:b/>
                <w:bCs/>
              </w:rPr>
              <w:t>Description of external process and how it will be used to engage with the community</w:t>
            </w:r>
          </w:p>
        </w:tc>
        <w:tc>
          <w:tcPr>
            <w:tcW w:w="8821" w:type="dxa"/>
          </w:tcPr>
          <w:p w14:paraId="304C3050" w14:textId="77777777" w:rsidR="00B56667" w:rsidRPr="00A83B05" w:rsidRDefault="00B56667" w:rsidP="00A83B05"/>
        </w:tc>
      </w:tr>
      <w:tr w:rsidR="00B56667" w:rsidRPr="00CF0B0B" w14:paraId="4A9354E5" w14:textId="77777777" w:rsidTr="003645E3">
        <w:trPr>
          <w:trHeight w:val="151"/>
        </w:trPr>
        <w:tc>
          <w:tcPr>
            <w:tcW w:w="1305" w:type="dxa"/>
            <w:vMerge/>
          </w:tcPr>
          <w:p w14:paraId="28002E81" w14:textId="77777777" w:rsidR="00B56667" w:rsidRPr="00FC6EEE" w:rsidRDefault="00B56667" w:rsidP="006E25D9">
            <w:pPr>
              <w:jc w:val="center"/>
              <w:rPr>
                <w:b/>
                <w:bCs/>
                <w:color w:val="FFFFFF" w:themeColor="background1"/>
                <w:sz w:val="56"/>
                <w:szCs w:val="56"/>
              </w:rPr>
            </w:pPr>
          </w:p>
        </w:tc>
        <w:tc>
          <w:tcPr>
            <w:tcW w:w="3668" w:type="dxa"/>
            <w:vAlign w:val="center"/>
          </w:tcPr>
          <w:p w14:paraId="2A04CE4D" w14:textId="5623BAC5" w:rsidR="00B56667" w:rsidRPr="00030061" w:rsidRDefault="00B56667" w:rsidP="006E25D9">
            <w:pPr>
              <w:rPr>
                <w:b/>
                <w:bCs/>
              </w:rPr>
            </w:pPr>
            <w:r>
              <w:rPr>
                <w:b/>
                <w:bCs/>
              </w:rPr>
              <w:t>Add rows by using the tab key.</w:t>
            </w:r>
          </w:p>
        </w:tc>
        <w:tc>
          <w:tcPr>
            <w:tcW w:w="8821" w:type="dxa"/>
            <w:vAlign w:val="center"/>
          </w:tcPr>
          <w:p w14:paraId="156B25BC" w14:textId="77777777" w:rsidR="00B56667" w:rsidRPr="00CF0B0B" w:rsidRDefault="00B56667" w:rsidP="006E25D9">
            <w:pPr>
              <w:rPr>
                <w:b/>
                <w:bCs/>
              </w:rPr>
            </w:pPr>
          </w:p>
        </w:tc>
      </w:tr>
      <w:tr w:rsidR="00B56667" w:rsidRPr="00CF0B0B" w14:paraId="11D5AA91" w14:textId="77777777" w:rsidTr="00557B3B">
        <w:trPr>
          <w:trHeight w:val="618"/>
        </w:trPr>
        <w:tc>
          <w:tcPr>
            <w:tcW w:w="1305" w:type="dxa"/>
            <w:vMerge/>
          </w:tcPr>
          <w:p w14:paraId="0342F272" w14:textId="77777777" w:rsidR="00B56667" w:rsidRPr="00FC6EEE" w:rsidRDefault="00B56667" w:rsidP="006E25D9">
            <w:pPr>
              <w:jc w:val="center"/>
              <w:rPr>
                <w:b/>
                <w:bCs/>
                <w:color w:val="FFFFFF" w:themeColor="background1"/>
                <w:sz w:val="56"/>
                <w:szCs w:val="56"/>
              </w:rPr>
            </w:pPr>
          </w:p>
        </w:tc>
        <w:tc>
          <w:tcPr>
            <w:tcW w:w="12489" w:type="dxa"/>
            <w:gridSpan w:val="2"/>
            <w:shd w:val="clear" w:color="auto" w:fill="BFBFBF" w:themeFill="background1" w:themeFillShade="BF"/>
            <w:vAlign w:val="center"/>
          </w:tcPr>
          <w:p w14:paraId="6AF3461D" w14:textId="77777777" w:rsidR="00B56667" w:rsidRPr="00CF0B0B" w:rsidRDefault="00B56667" w:rsidP="006E25D9">
            <w:pPr>
              <w:rPr>
                <w:b/>
                <w:bCs/>
              </w:rPr>
            </w:pPr>
          </w:p>
        </w:tc>
      </w:tr>
      <w:tr w:rsidR="00B56667" w:rsidRPr="00CF0B0B" w14:paraId="505C9804" w14:textId="77777777" w:rsidTr="008026BD">
        <w:trPr>
          <w:trHeight w:val="2220"/>
        </w:trPr>
        <w:tc>
          <w:tcPr>
            <w:tcW w:w="1305" w:type="dxa"/>
            <w:vMerge/>
          </w:tcPr>
          <w:p w14:paraId="60496B16" w14:textId="77777777" w:rsidR="00B56667" w:rsidRPr="00FC6EEE" w:rsidRDefault="00B56667" w:rsidP="006E25D9">
            <w:pPr>
              <w:jc w:val="center"/>
              <w:rPr>
                <w:b/>
                <w:bCs/>
                <w:color w:val="FFFFFF" w:themeColor="background1"/>
                <w:sz w:val="56"/>
                <w:szCs w:val="56"/>
              </w:rPr>
            </w:pPr>
          </w:p>
        </w:tc>
        <w:tc>
          <w:tcPr>
            <w:tcW w:w="3668" w:type="dxa"/>
          </w:tcPr>
          <w:p w14:paraId="7B9E0700" w14:textId="2F0123BE" w:rsidR="00F6292E" w:rsidRPr="008026BD" w:rsidRDefault="00B56667" w:rsidP="008026BD">
            <w:pPr>
              <w:rPr>
                <w:b/>
                <w:bCs/>
                <w:color w:val="0070C0"/>
              </w:rPr>
            </w:pPr>
            <w:r w:rsidRPr="00B56667">
              <w:rPr>
                <w:b/>
                <w:bCs/>
                <w:color w:val="0070C0"/>
              </w:rPr>
              <w:t xml:space="preserve">Borough coalitions without mature communications processes may draft current communication methods. </w:t>
            </w:r>
          </w:p>
        </w:tc>
        <w:tc>
          <w:tcPr>
            <w:tcW w:w="8821" w:type="dxa"/>
          </w:tcPr>
          <w:p w14:paraId="787F8D4C" w14:textId="77777777" w:rsidR="00B56667" w:rsidRPr="00EE14ED" w:rsidRDefault="00B56667" w:rsidP="00EE14ED"/>
        </w:tc>
      </w:tr>
    </w:tbl>
    <w:p w14:paraId="700C2E78" w14:textId="1E5FB47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4B3FEB" w:rsidRPr="00CF0B0B" w14:paraId="0455B589" w14:textId="77777777" w:rsidTr="00092408">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16A4A22D" w14:textId="5500FD15"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44EE483A" w14:textId="59F0D1F9" w:rsidR="004B3FEB" w:rsidRDefault="00B915DB" w:rsidP="006E25D9">
            <w:pPr>
              <w:rPr>
                <w:b/>
                <w:bCs/>
              </w:rPr>
            </w:pPr>
            <w:r>
              <w:rPr>
                <w:b/>
                <w:bCs/>
              </w:rPr>
              <w:t>NO additional documen</w:t>
            </w:r>
            <w:r w:rsidR="00557B3B">
              <w:rPr>
                <w:b/>
                <w:bCs/>
              </w:rPr>
              <w:t>tation required</w:t>
            </w:r>
            <w:r w:rsidR="00B720D4">
              <w:rPr>
                <w:b/>
                <w:bCs/>
              </w:rPr>
              <w:t xml:space="preserve"> for this deliverable.</w:t>
            </w:r>
          </w:p>
        </w:tc>
      </w:tr>
      <w:tr w:rsidR="004B3FEB" w:rsidRPr="00CF0B0B" w14:paraId="674DC0B0" w14:textId="77777777" w:rsidTr="00092408">
        <w:tc>
          <w:tcPr>
            <w:tcW w:w="1345" w:type="dxa"/>
            <w:vMerge/>
            <w:tcBorders>
              <w:top w:val="single" w:sz="12" w:space="0" w:color="auto"/>
              <w:left w:val="single" w:sz="12" w:space="0" w:color="auto"/>
              <w:bottom w:val="single" w:sz="12" w:space="0" w:color="auto"/>
              <w:right w:val="single" w:sz="12" w:space="0" w:color="auto"/>
            </w:tcBorders>
            <w:shd w:val="clear" w:color="auto" w:fill="FF6600"/>
            <w:vAlign w:val="center"/>
          </w:tcPr>
          <w:p w14:paraId="25C83E51" w14:textId="2C721668" w:rsidR="004B3FEB" w:rsidRPr="00FC6EEE" w:rsidRDefault="004B3FEB" w:rsidP="004B3FEB">
            <w:pPr>
              <w:jc w:val="center"/>
              <w:rPr>
                <w:b/>
                <w:bCs/>
                <w:color w:val="FFFFFF" w:themeColor="background1"/>
                <w:sz w:val="56"/>
                <w:szCs w:val="56"/>
              </w:rPr>
            </w:pPr>
          </w:p>
        </w:tc>
        <w:tc>
          <w:tcPr>
            <w:tcW w:w="12325" w:type="dxa"/>
            <w:tcBorders>
              <w:left w:val="single" w:sz="12" w:space="0" w:color="auto"/>
            </w:tcBorders>
            <w:vAlign w:val="center"/>
          </w:tcPr>
          <w:p w14:paraId="0E0B6C7D" w14:textId="5BCB8F17" w:rsidR="004B3FEB" w:rsidRPr="00CF0B0B" w:rsidRDefault="004B3FEB" w:rsidP="006E25D9">
            <w:pPr>
              <w:rPr>
                <w:b/>
                <w:bCs/>
              </w:rPr>
            </w:pPr>
          </w:p>
        </w:tc>
      </w:tr>
    </w:tbl>
    <w:p w14:paraId="2C86DFF1" w14:textId="77777777" w:rsidR="00CF0B0B" w:rsidRDefault="00CF0B0B" w:rsidP="00C74693"/>
    <w:sectPr w:rsidR="00CF0B0B"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A1A6E" w14:textId="77777777" w:rsidR="000E363A" w:rsidRDefault="000E363A" w:rsidP="004B3FEB">
      <w:pPr>
        <w:spacing w:after="0" w:line="240" w:lineRule="auto"/>
      </w:pPr>
      <w:r>
        <w:separator/>
      </w:r>
    </w:p>
  </w:endnote>
  <w:endnote w:type="continuationSeparator" w:id="0">
    <w:p w14:paraId="3B186C89" w14:textId="77777777" w:rsidR="000E363A" w:rsidRDefault="000E363A" w:rsidP="004B3FEB">
      <w:pPr>
        <w:spacing w:after="0" w:line="240" w:lineRule="auto"/>
      </w:pPr>
      <w:r>
        <w:continuationSeparator/>
      </w:r>
    </w:p>
  </w:endnote>
  <w:endnote w:type="continuationNotice" w:id="1">
    <w:p w14:paraId="6E0EAA45" w14:textId="77777777" w:rsidR="000E363A" w:rsidRDefault="000E3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7561B584" w:rsidR="004B3FEB" w:rsidRPr="00C9429C" w:rsidRDefault="009013D4" w:rsidP="008E72FA">
    <w:pPr>
      <w:pStyle w:val="Footer"/>
      <w:jc w:val="both"/>
      <w:rPr>
        <w:sz w:val="16"/>
        <w:szCs w:val="16"/>
      </w:rPr>
    </w:pPr>
    <w:r w:rsidRPr="00C9429C">
      <w:rPr>
        <w:sz w:val="16"/>
        <w:szCs w:val="16"/>
      </w:rPr>
      <w:t xml:space="preserve">DISCLAIMER: </w:t>
    </w:r>
    <w:r w:rsidR="008E72FA" w:rsidRPr="00C9429C">
      <w:rPr>
        <w:sz w:val="16"/>
        <w:szCs w:val="16"/>
      </w:rPr>
      <w:t>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AB8ED" w14:textId="77777777" w:rsidR="000E363A" w:rsidRDefault="000E363A" w:rsidP="004B3FEB">
      <w:pPr>
        <w:spacing w:after="0" w:line="240" w:lineRule="auto"/>
      </w:pPr>
      <w:r>
        <w:separator/>
      </w:r>
    </w:p>
  </w:footnote>
  <w:footnote w:type="continuationSeparator" w:id="0">
    <w:p w14:paraId="40EFE56C" w14:textId="77777777" w:rsidR="000E363A" w:rsidRDefault="000E363A" w:rsidP="004B3FEB">
      <w:pPr>
        <w:spacing w:after="0" w:line="240" w:lineRule="auto"/>
      </w:pPr>
      <w:r>
        <w:continuationSeparator/>
      </w:r>
    </w:p>
  </w:footnote>
  <w:footnote w:type="continuationNotice" w:id="1">
    <w:p w14:paraId="379CF9BB" w14:textId="77777777" w:rsidR="000E363A" w:rsidRDefault="000E363A">
      <w:pPr>
        <w:spacing w:after="0" w:line="240" w:lineRule="auto"/>
      </w:pPr>
    </w:p>
  </w:footnote>
</w:footnotes>
</file>

<file path=word/intelligence2.xml><?xml version="1.0" encoding="utf-8"?>
<int2:intelligence xmlns:int2="http://schemas.microsoft.com/office/intelligence/2020/intelligence">
  <int2:observations>
    <int2:bookmark int2:bookmarkName="_Int_V9k2PsoV" int2:invalidationBookmarkName="" int2:hashCode="5XXczHEUB1Tdhb" int2:id="vqMWtZx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1" w15:restartNumberingAfterBreak="0">
    <w:nsid w:val="0A494895"/>
    <w:multiLevelType w:val="hybridMultilevel"/>
    <w:tmpl w:val="E8B898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3"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4"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5" w15:restartNumberingAfterBreak="0">
    <w:nsid w:val="3A37140F"/>
    <w:multiLevelType w:val="hybridMultilevel"/>
    <w:tmpl w:val="869C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7"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8"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9" w15:restartNumberingAfterBreak="0">
    <w:nsid w:val="6DF40A58"/>
    <w:multiLevelType w:val="hybridMultilevel"/>
    <w:tmpl w:val="B026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11"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2"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abstractNum w:abstractNumId="13" w15:restartNumberingAfterBreak="0">
    <w:nsid w:val="7CE70A20"/>
    <w:multiLevelType w:val="hybridMultilevel"/>
    <w:tmpl w:val="27A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2"/>
  </w:num>
  <w:num w:numId="5">
    <w:abstractNumId w:val="8"/>
  </w:num>
  <w:num w:numId="6">
    <w:abstractNumId w:val="7"/>
  </w:num>
  <w:num w:numId="7">
    <w:abstractNumId w:val="0"/>
  </w:num>
  <w:num w:numId="8">
    <w:abstractNumId w:val="11"/>
  </w:num>
  <w:num w:numId="9">
    <w:abstractNumId w:val="3"/>
  </w:num>
  <w:num w:numId="10">
    <w:abstractNumId w:val="4"/>
  </w:num>
  <w:num w:numId="11">
    <w:abstractNumId w:val="13"/>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00EAB"/>
    <w:rsid w:val="00030061"/>
    <w:rsid w:val="00031E4E"/>
    <w:rsid w:val="000320CF"/>
    <w:rsid w:val="00064C6E"/>
    <w:rsid w:val="00092408"/>
    <w:rsid w:val="000A1F9E"/>
    <w:rsid w:val="000E363A"/>
    <w:rsid w:val="000F2815"/>
    <w:rsid w:val="00104AE6"/>
    <w:rsid w:val="00127F48"/>
    <w:rsid w:val="00145B21"/>
    <w:rsid w:val="00152E26"/>
    <w:rsid w:val="001758D6"/>
    <w:rsid w:val="001865E6"/>
    <w:rsid w:val="001A0B83"/>
    <w:rsid w:val="001B5E86"/>
    <w:rsid w:val="001B7AF7"/>
    <w:rsid w:val="001D4ED0"/>
    <w:rsid w:val="002020AC"/>
    <w:rsid w:val="00216239"/>
    <w:rsid w:val="00251056"/>
    <w:rsid w:val="00271640"/>
    <w:rsid w:val="00294C5A"/>
    <w:rsid w:val="002B7A3A"/>
    <w:rsid w:val="002C1DA3"/>
    <w:rsid w:val="002E7C36"/>
    <w:rsid w:val="00317AC1"/>
    <w:rsid w:val="003334B0"/>
    <w:rsid w:val="00345878"/>
    <w:rsid w:val="00350BC2"/>
    <w:rsid w:val="003645E3"/>
    <w:rsid w:val="003B48AA"/>
    <w:rsid w:val="00400721"/>
    <w:rsid w:val="004375C2"/>
    <w:rsid w:val="004738EC"/>
    <w:rsid w:val="004A3D3D"/>
    <w:rsid w:val="004A6AEB"/>
    <w:rsid w:val="004B3FEB"/>
    <w:rsid w:val="00506B90"/>
    <w:rsid w:val="00514BCC"/>
    <w:rsid w:val="005206D7"/>
    <w:rsid w:val="0054784F"/>
    <w:rsid w:val="00556754"/>
    <w:rsid w:val="00557618"/>
    <w:rsid w:val="00557B3B"/>
    <w:rsid w:val="00583E7F"/>
    <w:rsid w:val="00597DD8"/>
    <w:rsid w:val="005D0D9F"/>
    <w:rsid w:val="005D510F"/>
    <w:rsid w:val="005D629B"/>
    <w:rsid w:val="005E0FB6"/>
    <w:rsid w:val="005F1AF1"/>
    <w:rsid w:val="0060111F"/>
    <w:rsid w:val="0065352C"/>
    <w:rsid w:val="0067378B"/>
    <w:rsid w:val="006847A2"/>
    <w:rsid w:val="006A331C"/>
    <w:rsid w:val="006B5388"/>
    <w:rsid w:val="006D0BF3"/>
    <w:rsid w:val="006D5770"/>
    <w:rsid w:val="006E06DD"/>
    <w:rsid w:val="006E4A4C"/>
    <w:rsid w:val="00700720"/>
    <w:rsid w:val="00721913"/>
    <w:rsid w:val="00722302"/>
    <w:rsid w:val="007571DE"/>
    <w:rsid w:val="007C12EA"/>
    <w:rsid w:val="007D1E15"/>
    <w:rsid w:val="008026BD"/>
    <w:rsid w:val="00820F6D"/>
    <w:rsid w:val="00845786"/>
    <w:rsid w:val="00877126"/>
    <w:rsid w:val="00887555"/>
    <w:rsid w:val="00895B3C"/>
    <w:rsid w:val="008B233C"/>
    <w:rsid w:val="008B41F1"/>
    <w:rsid w:val="008B6B8E"/>
    <w:rsid w:val="008B735A"/>
    <w:rsid w:val="008C5BB5"/>
    <w:rsid w:val="008E72FA"/>
    <w:rsid w:val="008F7E6B"/>
    <w:rsid w:val="009013D4"/>
    <w:rsid w:val="00903961"/>
    <w:rsid w:val="00905B06"/>
    <w:rsid w:val="0091030D"/>
    <w:rsid w:val="00911BE2"/>
    <w:rsid w:val="00960868"/>
    <w:rsid w:val="0098156D"/>
    <w:rsid w:val="009A3EB3"/>
    <w:rsid w:val="009D3FFF"/>
    <w:rsid w:val="009D70B1"/>
    <w:rsid w:val="00A27A15"/>
    <w:rsid w:val="00A31240"/>
    <w:rsid w:val="00A37031"/>
    <w:rsid w:val="00A44FAC"/>
    <w:rsid w:val="00A520B8"/>
    <w:rsid w:val="00A652B6"/>
    <w:rsid w:val="00A71160"/>
    <w:rsid w:val="00A83B05"/>
    <w:rsid w:val="00A92DD1"/>
    <w:rsid w:val="00AB7AA5"/>
    <w:rsid w:val="00AD737E"/>
    <w:rsid w:val="00AE60AB"/>
    <w:rsid w:val="00AF7B7F"/>
    <w:rsid w:val="00B25C60"/>
    <w:rsid w:val="00B56667"/>
    <w:rsid w:val="00B579B9"/>
    <w:rsid w:val="00B64AD9"/>
    <w:rsid w:val="00B720D4"/>
    <w:rsid w:val="00B915DB"/>
    <w:rsid w:val="00BC35FB"/>
    <w:rsid w:val="00BC72B3"/>
    <w:rsid w:val="00BD2C3D"/>
    <w:rsid w:val="00BD5873"/>
    <w:rsid w:val="00BE0EBD"/>
    <w:rsid w:val="00BF1B5D"/>
    <w:rsid w:val="00BF6D40"/>
    <w:rsid w:val="00C020E5"/>
    <w:rsid w:val="00C02118"/>
    <w:rsid w:val="00C336FD"/>
    <w:rsid w:val="00C57DBF"/>
    <w:rsid w:val="00C711AA"/>
    <w:rsid w:val="00C74693"/>
    <w:rsid w:val="00C81571"/>
    <w:rsid w:val="00C91517"/>
    <w:rsid w:val="00C91B67"/>
    <w:rsid w:val="00C9429C"/>
    <w:rsid w:val="00CA4592"/>
    <w:rsid w:val="00CB4FC0"/>
    <w:rsid w:val="00CB7352"/>
    <w:rsid w:val="00CF0B0B"/>
    <w:rsid w:val="00CF0E2A"/>
    <w:rsid w:val="00CF2071"/>
    <w:rsid w:val="00D04E0B"/>
    <w:rsid w:val="00D13F52"/>
    <w:rsid w:val="00D5752F"/>
    <w:rsid w:val="00D80DE1"/>
    <w:rsid w:val="00D96DEC"/>
    <w:rsid w:val="00DA414A"/>
    <w:rsid w:val="00DA5067"/>
    <w:rsid w:val="00DD506A"/>
    <w:rsid w:val="00DD6F88"/>
    <w:rsid w:val="00DF39A3"/>
    <w:rsid w:val="00E06F8D"/>
    <w:rsid w:val="00E350D8"/>
    <w:rsid w:val="00E376E2"/>
    <w:rsid w:val="00E57BD6"/>
    <w:rsid w:val="00E703E3"/>
    <w:rsid w:val="00E73155"/>
    <w:rsid w:val="00E77B3E"/>
    <w:rsid w:val="00E96E1E"/>
    <w:rsid w:val="00EE14ED"/>
    <w:rsid w:val="00EE184B"/>
    <w:rsid w:val="00F000D9"/>
    <w:rsid w:val="00F15F7B"/>
    <w:rsid w:val="00F616FB"/>
    <w:rsid w:val="00F6292E"/>
    <w:rsid w:val="00F87305"/>
    <w:rsid w:val="00FC6EEE"/>
    <w:rsid w:val="02F52908"/>
    <w:rsid w:val="03B24746"/>
    <w:rsid w:val="05C9A58F"/>
    <w:rsid w:val="06E87877"/>
    <w:rsid w:val="0A05D5AC"/>
    <w:rsid w:val="0AB1D0DD"/>
    <w:rsid w:val="0E472360"/>
    <w:rsid w:val="1822EB96"/>
    <w:rsid w:val="184F762D"/>
    <w:rsid w:val="18C67BD5"/>
    <w:rsid w:val="1A31FB0F"/>
    <w:rsid w:val="1B4163FB"/>
    <w:rsid w:val="20148A0E"/>
    <w:rsid w:val="20867217"/>
    <w:rsid w:val="23FC70D4"/>
    <w:rsid w:val="25A72344"/>
    <w:rsid w:val="2F81AD5D"/>
    <w:rsid w:val="33C1F5FA"/>
    <w:rsid w:val="34ECE6B5"/>
    <w:rsid w:val="356A336A"/>
    <w:rsid w:val="36F4CCE8"/>
    <w:rsid w:val="37137F2B"/>
    <w:rsid w:val="405A8D58"/>
    <w:rsid w:val="41BB32F7"/>
    <w:rsid w:val="44BB0DD0"/>
    <w:rsid w:val="44C9696C"/>
    <w:rsid w:val="458D73AD"/>
    <w:rsid w:val="49E85F55"/>
    <w:rsid w:val="4D0F2B8B"/>
    <w:rsid w:val="4F4445F4"/>
    <w:rsid w:val="5429242C"/>
    <w:rsid w:val="54610C39"/>
    <w:rsid w:val="5495EE99"/>
    <w:rsid w:val="5C803B66"/>
    <w:rsid w:val="5C840323"/>
    <w:rsid w:val="67ADF30F"/>
    <w:rsid w:val="685CB8E3"/>
    <w:rsid w:val="6BE04B4D"/>
    <w:rsid w:val="6C0044C7"/>
    <w:rsid w:val="6D30F984"/>
    <w:rsid w:val="6FC7E703"/>
    <w:rsid w:val="707850FE"/>
    <w:rsid w:val="7163B764"/>
    <w:rsid w:val="72849E91"/>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AD737E"/>
  </w:style>
  <w:style w:type="character" w:customStyle="1" w:styleId="normaltextrun">
    <w:name w:val="normaltextrun"/>
    <w:basedOn w:val="DefaultParagraphFont"/>
    <w:rsid w:val="005E0FB6"/>
  </w:style>
  <w:style w:type="character" w:customStyle="1" w:styleId="eop">
    <w:name w:val="eop"/>
    <w:basedOn w:val="DefaultParagraphFont"/>
    <w:rsid w:val="005E0FB6"/>
  </w:style>
  <w:style w:type="character" w:customStyle="1" w:styleId="contextualspellingandgrammarerror">
    <w:name w:val="contextualspellingandgrammarerror"/>
    <w:basedOn w:val="DefaultParagraphFont"/>
    <w:rsid w:val="005E0FB6"/>
  </w:style>
  <w:style w:type="paragraph" w:styleId="BalloonText">
    <w:name w:val="Balloon Text"/>
    <w:basedOn w:val="Normal"/>
    <w:link w:val="BalloonTextChar"/>
    <w:uiPriority w:val="99"/>
    <w:semiHidden/>
    <w:unhideWhenUsed/>
    <w:rsid w:val="000F2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dde30977d0164cec"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adclif@health.nyc.gov%20%20%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2.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7F8E0-4EF7-4F9A-BDD0-79D4E02334C6}">
  <ds:schemaRefs>
    <ds:schemaRef ds:uri="http://www.w3.org/XML/1998/namespace"/>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3399f0fc-f665-4cbd-8de7-563786870900"/>
    <ds:schemaRef ds:uri="http://schemas.openxmlformats.org/package/2006/metadata/core-properties"/>
    <ds:schemaRef ds:uri="058f4e35-b3f2-4a2f-8a15-5de3cd9cafbb"/>
  </ds:schemaRefs>
</ds:datastoreItem>
</file>

<file path=customXml/itemProps4.xml><?xml version="1.0" encoding="utf-8"?>
<ds:datastoreItem xmlns:ds="http://schemas.openxmlformats.org/officeDocument/2006/customXml" ds:itemID="{D7A8CA8A-A0BD-4F07-BC2A-FD2A0C991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2022-10-11T17:59:00Z</dcterms:created>
  <dcterms:modified xsi:type="dcterms:W3CDTF">2022-10-11T17:59:00Z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